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79" w:rsidRPr="00022BA3" w:rsidRDefault="002E4479" w:rsidP="002E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Тема </w:t>
      </w:r>
      <w:r w:rsidR="006A7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6A7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Порівняльний</w:t>
      </w:r>
      <w:r w:rsidR="005D11B6" w:rsidRPr="005D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підхід до оцінки бізнесу</w:t>
      </w:r>
    </w:p>
    <w:p w:rsidR="002E4479" w:rsidRDefault="002E4479" w:rsidP="004E5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6C16" w:rsidRPr="00176C16" w:rsidRDefault="00176C16" w:rsidP="00176C1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1. Економічний зміст порівняльного підходу до оцінки бізнесу</w:t>
      </w:r>
    </w:p>
    <w:p w:rsidR="00176C16" w:rsidRPr="00176C16" w:rsidRDefault="00176C16" w:rsidP="00176C1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2. Ме</w:t>
      </w:r>
      <w:bookmarkStart w:id="0" w:name="_GoBack"/>
      <w:bookmarkEnd w:id="0"/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тоди ринку капіталу і угод</w:t>
      </w:r>
    </w:p>
    <w:p w:rsidR="004E5B90" w:rsidRDefault="004E5B90" w:rsidP="008056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FF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AE5CA1" w:rsidRPr="00097A6D" w:rsidRDefault="00805626" w:rsidP="00097A6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05626">
        <w:rPr>
          <w:rFonts w:ascii="Times New Roman" w:hAnsi="Times New Roman" w:cs="Times New Roman"/>
          <w:bCs/>
          <w:sz w:val="24"/>
          <w:szCs w:val="24"/>
          <w:lang w:val="uk-UA"/>
        </w:rPr>
        <w:t>Витратний підхід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принцип вкладу, метод</w:t>
      </w:r>
      <w:r w:rsidR="00097A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97A6D" w:rsidRPr="00097A6D">
        <w:rPr>
          <w:rFonts w:ascii="Times New Roman" w:hAnsi="Times New Roman" w:cs="Times New Roman"/>
          <w:bCs/>
          <w:sz w:val="24"/>
          <w:szCs w:val="24"/>
          <w:lang w:val="uk-UA"/>
        </w:rPr>
        <w:t>ринку капіталу і угод</w:t>
      </w:r>
      <w:r w:rsidR="00097A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фінансовий аналіз, підприємства-аналоги, мультиплікатор, оціночні мультиплікатори, </w:t>
      </w:r>
      <w:r w:rsidR="00097A6D" w:rsidRPr="00097A6D">
        <w:rPr>
          <w:rFonts w:ascii="Times New Roman" w:hAnsi="Times New Roman" w:cs="Times New Roman"/>
          <w:bCs/>
          <w:sz w:val="24"/>
          <w:szCs w:val="24"/>
          <w:lang w:val="uk-UA"/>
        </w:rPr>
        <w:t>ціна / п</w:t>
      </w:r>
      <w:r w:rsidR="00097A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рибуток, ціна / грошовий потік, ціна / дивіденди,  ціна / виручка від реалізації, ціна / вартість активів, ретроспективні дані, метод надлишкового прибутку, метод </w:t>
      </w:r>
      <w:proofErr w:type="spellStart"/>
      <w:r w:rsidR="00097A6D">
        <w:rPr>
          <w:rFonts w:ascii="Times New Roman" w:hAnsi="Times New Roman" w:cs="Times New Roman"/>
          <w:bCs/>
          <w:sz w:val="24"/>
          <w:szCs w:val="24"/>
          <w:lang w:val="uk-UA"/>
        </w:rPr>
        <w:t>безборгової</w:t>
      </w:r>
      <w:proofErr w:type="spellEnd"/>
      <w:r w:rsidR="00097A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оцінки, гудвіл, нематеріальні активи.</w:t>
      </w: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FA4369" w:rsidRPr="00805626" w:rsidRDefault="00FA4369" w:rsidP="00FA436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626">
        <w:rPr>
          <w:rFonts w:ascii="Times New Roman" w:hAnsi="Times New Roman" w:cs="Times New Roman"/>
          <w:sz w:val="24"/>
          <w:szCs w:val="24"/>
          <w:lang w:val="uk-UA"/>
        </w:rPr>
        <w:t xml:space="preserve">Які теоретичні положення лежать в основі порівняльного підходу (переваги та недоліки порівняльного підходу)? </w:t>
      </w:r>
    </w:p>
    <w:p w:rsidR="00FA4369" w:rsidRPr="00805626" w:rsidRDefault="00FA4369" w:rsidP="00FA436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626">
        <w:rPr>
          <w:rFonts w:ascii="Times New Roman" w:hAnsi="Times New Roman" w:cs="Times New Roman"/>
          <w:sz w:val="24"/>
          <w:szCs w:val="24"/>
          <w:lang w:val="uk-UA"/>
        </w:rPr>
        <w:t xml:space="preserve">Які основні критерії відбору підприємств-аналогів? </w:t>
      </w:r>
    </w:p>
    <w:p w:rsidR="00FA4369" w:rsidRPr="00805626" w:rsidRDefault="00FA4369" w:rsidP="00FA436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626">
        <w:rPr>
          <w:rFonts w:ascii="Times New Roman" w:hAnsi="Times New Roman" w:cs="Times New Roman"/>
          <w:sz w:val="24"/>
          <w:szCs w:val="24"/>
          <w:lang w:val="uk-UA"/>
        </w:rPr>
        <w:t>Які існують методи порівняльного підходу?</w:t>
      </w:r>
    </w:p>
    <w:p w:rsidR="00FA4369" w:rsidRPr="00805626" w:rsidRDefault="00FA4369" w:rsidP="00FA436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626">
        <w:rPr>
          <w:rFonts w:ascii="Times New Roman" w:hAnsi="Times New Roman" w:cs="Times New Roman"/>
          <w:sz w:val="24"/>
          <w:szCs w:val="24"/>
          <w:lang w:val="uk-UA"/>
        </w:rPr>
        <w:t>Які виділяють особливості методу ринку капіталу та методу угод?</w:t>
      </w:r>
    </w:p>
    <w:p w:rsidR="00FA4369" w:rsidRPr="00805626" w:rsidRDefault="00FA4369" w:rsidP="00FA436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626">
        <w:rPr>
          <w:rFonts w:ascii="Times New Roman" w:hAnsi="Times New Roman" w:cs="Times New Roman"/>
          <w:sz w:val="24"/>
          <w:szCs w:val="24"/>
          <w:lang w:val="uk-UA"/>
        </w:rPr>
        <w:t>Назвіть етапи процесу оцінки бізнесу методом ринку капіталу і угод?</w:t>
      </w:r>
    </w:p>
    <w:p w:rsidR="00D05DAE" w:rsidRPr="00805626" w:rsidRDefault="00D05DAE" w:rsidP="00D05DA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626">
        <w:rPr>
          <w:rFonts w:ascii="Times New Roman" w:hAnsi="Times New Roman" w:cs="Times New Roman"/>
          <w:sz w:val="24"/>
          <w:szCs w:val="24"/>
          <w:lang w:val="uk-UA"/>
        </w:rPr>
        <w:t>Поняття і види оціночних мультиплікаторів.</w:t>
      </w:r>
    </w:p>
    <w:p w:rsidR="00D05DAE" w:rsidRDefault="00D05DAE" w:rsidP="00A81A16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5D0EAD" w:rsidRDefault="005D0EAD" w:rsidP="00A81A16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07560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1. Для даного підходу до оцінки бізнесу базовим є економічний принцип заміщення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витратний 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порівняльний 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все перераховане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дохідний 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2. Що з нижченаведеного не є коригуваннями, що застосовуються при оцінці об'єкта методом порівняльного аналізу продажів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процентна коригування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коригування економічного коефіцієнта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доларова коригування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коригування по одиницям порівняння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3. Розрахункова величина, за яку передбачається перехід майна з рук в руки на дату оцінки в результаті угоди між продавцем і покупцем, називається: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ринкова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інвестиційна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ліквідаційна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кадастрова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4. Як називається ймовірність того, що доходи від інвестицій в оцінюваний бізнес виявляться більше або менше прогнозованих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ризик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lastRenderedPageBreak/>
        <w:t> збиток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прибуток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дефіцит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надлишок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5. До якого підходу відносяться метод ринку капіталу, метод угод та метод галузевих коефіцієнтів?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витратним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доходному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порівняльному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b/>
          <w:sz w:val="24"/>
          <w:szCs w:val="24"/>
          <w:lang w:val="uk-UA"/>
        </w:rPr>
        <w:t>6. Порівняльний підхід реалізується за коштами: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методу угод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методу аналізу ринку позичкового капіталу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методу ринку капіталу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методу галузевих коефіцієнтів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методу сукупності мультиплікаторів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04C1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76C16">
        <w:rPr>
          <w:rFonts w:ascii="Times New Roman" w:hAnsi="Times New Roman" w:cs="Times New Roman"/>
          <w:sz w:val="24"/>
          <w:szCs w:val="24"/>
          <w:lang w:val="uk-UA"/>
        </w:rPr>
        <w:t> методу виручки від реалізації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C16" w:rsidRPr="00176C16" w:rsidRDefault="00176C16" w:rsidP="00176C16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176C16" w:rsidRDefault="00176C16" w:rsidP="00176C1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176C16">
        <w:rPr>
          <w:rFonts w:ascii="Times New Roman" w:hAnsi="Times New Roman" w:cs="Times New Roman"/>
          <w:b/>
          <w:sz w:val="24"/>
          <w:u w:val="single"/>
          <w:lang w:val="uk-UA"/>
        </w:rPr>
        <w:t>Показові задачі</w:t>
      </w:r>
    </w:p>
    <w:p w:rsidR="005F7C30" w:rsidRDefault="005F7C30" w:rsidP="00176C1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5F7C30" w:rsidRPr="00176C16" w:rsidRDefault="005F7C30" w:rsidP="00176C1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Задача 1</w:t>
      </w:r>
    </w:p>
    <w:p w:rsidR="00176C16" w:rsidRDefault="00176C16" w:rsidP="008122A9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176C16">
        <w:rPr>
          <w:rFonts w:ascii="Times New Roman" w:hAnsi="Times New Roman" w:cs="Times New Roman"/>
          <w:sz w:val="24"/>
          <w:lang w:val="uk-UA"/>
        </w:rPr>
        <w:t>Наведемо простий приклад використання порівняльного підходу до оцінки бізнесу. Зовсім недавно підприємство-аналог пішло з молотка за ціною 400 млн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176C16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грн.</w:t>
      </w:r>
      <w:r w:rsidRPr="00176C16">
        <w:rPr>
          <w:rFonts w:ascii="Times New Roman" w:hAnsi="Times New Roman" w:cs="Times New Roman"/>
          <w:sz w:val="24"/>
          <w:lang w:val="uk-UA"/>
        </w:rPr>
        <w:t xml:space="preserve">. Величина чистого прибутку аналога становить 40 млн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176C16">
        <w:rPr>
          <w:rFonts w:ascii="Times New Roman" w:hAnsi="Times New Roman" w:cs="Times New Roman"/>
          <w:sz w:val="24"/>
          <w:lang w:val="uk-UA"/>
        </w:rPr>
        <w:t xml:space="preserve">. Щоб знайти мультиплікатор, потрібно ціну розділити на прибуток. Отримаємо величину мультиплікатора (множника), що дорівнює 10. Чистий прибуток від реалізації досліджуваної фірми становить 37 млн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176C16">
        <w:rPr>
          <w:rFonts w:ascii="Times New Roman" w:hAnsi="Times New Roman" w:cs="Times New Roman"/>
          <w:sz w:val="24"/>
          <w:lang w:val="uk-UA"/>
        </w:rPr>
        <w:t xml:space="preserve">. Вартість досліджуваного підприємства буде дорівнює добутку величини мультиплікатора і чистого прибутку, тобто 370 млн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176C16">
        <w:rPr>
          <w:rFonts w:ascii="Times New Roman" w:hAnsi="Times New Roman" w:cs="Times New Roman"/>
          <w:sz w:val="24"/>
          <w:lang w:val="uk-UA"/>
        </w:rPr>
        <w:t>.</w:t>
      </w:r>
    </w:p>
    <w:p w:rsidR="005F7C30" w:rsidRPr="00176C16" w:rsidRDefault="005F7C30" w:rsidP="005F7C30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Задача 2</w:t>
      </w:r>
    </w:p>
    <w:p w:rsidR="008122A9" w:rsidRDefault="005F7C30" w:rsidP="008122A9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F7C30">
        <w:rPr>
          <w:rFonts w:ascii="Times New Roman" w:hAnsi="Times New Roman" w:cs="Times New Roman"/>
          <w:sz w:val="24"/>
          <w:lang w:val="uk-UA"/>
        </w:rPr>
        <w:t xml:space="preserve">Прибуток компанії становить 30% від її продажу, а необхідний дохід на інвестиції в даній галузі становить 35%. У цьому випадку покупці будуть готові заплатити за фірму 0,30 / 0,35 або 85,7% річного виторгу від реалізації продукції і послуг. Якщо за рік фірма реалізує продукцію на суму 100 млн.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5F7C30">
        <w:rPr>
          <w:rFonts w:ascii="Times New Roman" w:hAnsi="Times New Roman" w:cs="Times New Roman"/>
          <w:sz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lang w:val="uk-UA"/>
        </w:rPr>
        <w:t>т</w:t>
      </w:r>
      <w:r w:rsidRPr="005F7C30">
        <w:rPr>
          <w:rFonts w:ascii="Times New Roman" w:hAnsi="Times New Roman" w:cs="Times New Roman"/>
          <w:sz w:val="24"/>
          <w:lang w:val="uk-UA"/>
        </w:rPr>
        <w:t xml:space="preserve">о ціна компанії складе 100 х 0,857 = 85,7 млн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5F7C30">
        <w:rPr>
          <w:rFonts w:ascii="Times New Roman" w:hAnsi="Times New Roman" w:cs="Times New Roman"/>
          <w:sz w:val="24"/>
          <w:lang w:val="uk-UA"/>
        </w:rPr>
        <w:t>.</w:t>
      </w:r>
    </w:p>
    <w:p w:rsidR="008122A9" w:rsidRDefault="008122A9" w:rsidP="008122A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Задача 3</w:t>
      </w:r>
    </w:p>
    <w:p w:rsidR="008122A9" w:rsidRDefault="008122A9" w:rsidP="008122A9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122A9">
        <w:rPr>
          <w:rFonts w:ascii="Times New Roman" w:hAnsi="Times New Roman" w:cs="Times New Roman"/>
          <w:sz w:val="24"/>
          <w:lang w:val="uk-UA"/>
        </w:rPr>
        <w:t>Виявлено три підприємства тієї ж галузевої приналежності, що і об'єкт оцінки, за акціями яких нещодавно були здійснені угоди. Після аналізу їх фінансових результатів розраховані оціночні мультиплікатори.</w:t>
      </w:r>
    </w:p>
    <w:p w:rsidR="00FA4369" w:rsidRDefault="00FA4369" w:rsidP="008122A9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26772" w:rsidRDefault="00F26772" w:rsidP="008122A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F26772" w:rsidRDefault="00F26772" w:rsidP="008122A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122A9" w:rsidRPr="008122A9" w:rsidRDefault="008122A9" w:rsidP="008122A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8122A9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Розрахунок </w:t>
      </w:r>
      <w:proofErr w:type="spellStart"/>
      <w:r w:rsidRPr="008122A9">
        <w:rPr>
          <w:rFonts w:ascii="Times New Roman" w:hAnsi="Times New Roman" w:cs="Times New Roman"/>
          <w:b/>
          <w:sz w:val="24"/>
          <w:lang w:val="uk-UA"/>
        </w:rPr>
        <w:t>оціночніх</w:t>
      </w:r>
      <w:proofErr w:type="spellEnd"/>
      <w:r w:rsidRPr="008122A9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8122A9">
        <w:rPr>
          <w:rFonts w:ascii="Times New Roman" w:hAnsi="Times New Roman" w:cs="Times New Roman"/>
          <w:b/>
          <w:sz w:val="24"/>
          <w:lang w:val="uk-UA"/>
        </w:rPr>
        <w:t>мультіплікаторів</w:t>
      </w:r>
      <w:proofErr w:type="spellEnd"/>
      <w:r w:rsidRPr="008122A9">
        <w:rPr>
          <w:rFonts w:ascii="Times New Roman" w:hAnsi="Times New Roman" w:cs="Times New Roman"/>
          <w:b/>
          <w:sz w:val="24"/>
          <w:lang w:val="uk-UA"/>
        </w:rPr>
        <w:t xml:space="preserve"> підприємств-аналогів</w:t>
      </w:r>
    </w:p>
    <w:tbl>
      <w:tblPr>
        <w:tblW w:w="963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702"/>
        <w:gridCol w:w="1701"/>
        <w:gridCol w:w="1733"/>
        <w:gridCol w:w="1522"/>
      </w:tblGrid>
      <w:tr w:rsidR="008122A9" w:rsidRPr="008B54CA" w:rsidTr="008122A9">
        <w:trPr>
          <w:trHeight w:val="23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оцінного мультиплікатора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Підприємство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Підприємство 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Підприємство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Середнє значення</w:t>
            </w:r>
          </w:p>
        </w:tc>
      </w:tr>
      <w:tr w:rsidR="008122A9" w:rsidRPr="008B54CA" w:rsidTr="008122A9">
        <w:trPr>
          <w:trHeight w:val="16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/ чистий прибуток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6,5470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5,3020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96"/>
              <w:widowControl/>
              <w:jc w:val="center"/>
              <w:rPr>
                <w:rStyle w:val="FontStyle264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64"/>
                <w:rFonts w:ascii="Times New Roman" w:cs="Times New Roman"/>
                <w:sz w:val="24"/>
                <w:szCs w:val="24"/>
                <w:lang w:val="uk-UA"/>
              </w:rPr>
              <w:t>8,2640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6,7044</w:t>
            </w:r>
          </w:p>
        </w:tc>
      </w:tr>
      <w:tr w:rsidR="008122A9" w:rsidRPr="008B54CA" w:rsidTr="008122A9">
        <w:trPr>
          <w:trHeight w:val="27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/ вартість активів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3,2150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5,2370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4,2850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4,2455</w:t>
            </w:r>
          </w:p>
        </w:tc>
      </w:tr>
      <w:tr w:rsidR="008122A9" w:rsidRPr="008B54CA" w:rsidTr="008122A9">
        <w:trPr>
          <w:trHeight w:val="18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/ виручка від реалізації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96"/>
              <w:widowControl/>
              <w:jc w:val="center"/>
              <w:rPr>
                <w:rStyle w:val="FontStyle264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64"/>
                <w:rFonts w:ascii="Times New Roman" w:cs="Times New Roman"/>
                <w:sz w:val="24"/>
                <w:szCs w:val="24"/>
                <w:lang w:val="uk-UA"/>
              </w:rPr>
              <w:t>1,6860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3,5840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96"/>
              <w:widowControl/>
              <w:jc w:val="center"/>
              <w:rPr>
                <w:rStyle w:val="FontStyle264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64"/>
                <w:rFonts w:ascii="Times New Roman" w:cs="Times New Roman"/>
                <w:sz w:val="24"/>
                <w:szCs w:val="24"/>
                <w:lang w:val="uk-UA"/>
              </w:rPr>
              <w:t>2,4930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pStyle w:val="Style140"/>
              <w:widowControl/>
              <w:jc w:val="center"/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Style w:val="FontStyle279"/>
                <w:rFonts w:ascii="Times New Roman" w:cs="Times New Roman"/>
                <w:sz w:val="24"/>
                <w:szCs w:val="24"/>
                <w:lang w:val="uk-UA"/>
              </w:rPr>
              <w:t>2,5877</w:t>
            </w:r>
          </w:p>
        </w:tc>
      </w:tr>
    </w:tbl>
    <w:p w:rsidR="008122A9" w:rsidRDefault="008122A9" w:rsidP="008122A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Cs/>
          <w:sz w:val="24"/>
          <w:lang w:val="uk-UA"/>
        </w:rPr>
      </w:pPr>
    </w:p>
    <w:p w:rsidR="008122A9" w:rsidRPr="008122A9" w:rsidRDefault="008122A9" w:rsidP="008122A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8122A9">
        <w:rPr>
          <w:rFonts w:ascii="Times New Roman" w:hAnsi="Times New Roman" w:cs="Times New Roman"/>
          <w:b/>
          <w:bCs/>
          <w:sz w:val="24"/>
          <w:lang w:val="uk-UA"/>
        </w:rPr>
        <w:t>Розрахунок вартості підприємства на основі оціночних мультиплікаторів</w:t>
      </w:r>
    </w:p>
    <w:p w:rsidR="008122A9" w:rsidRPr="008122A9" w:rsidRDefault="008122A9" w:rsidP="008122A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Cs/>
          <w:sz w:val="24"/>
          <w:lang w:val="uk-UA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1525"/>
        <w:gridCol w:w="2234"/>
        <w:gridCol w:w="2408"/>
        <w:gridCol w:w="722"/>
      </w:tblGrid>
      <w:tr w:rsidR="008122A9" w:rsidRPr="008122A9" w:rsidTr="008122A9">
        <w:trPr>
          <w:trHeight w:val="5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показника для об'єкта оцінки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lang w:val="uk-UA"/>
              </w:rPr>
              <w:t>Величина</w:t>
            </w:r>
          </w:p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lang w:val="uk-UA"/>
              </w:rPr>
              <w:t>показника, тис. 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lang w:val="uk-UA"/>
              </w:rPr>
              <w:t>Значення мультиплікатора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lang w:val="uk-UA"/>
              </w:rPr>
              <w:t>Орієнтовна вартість підприємства, тис. 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b/>
                <w:sz w:val="24"/>
                <w:lang w:val="uk-UA"/>
              </w:rPr>
              <w:t>Вага, %</w:t>
            </w:r>
          </w:p>
        </w:tc>
      </w:tr>
      <w:tr w:rsidR="008122A9" w:rsidRPr="008122A9" w:rsidTr="008122A9">
        <w:trPr>
          <w:trHeight w:val="2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прибуток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6,7044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1 300,65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</w:tc>
      </w:tr>
      <w:tr w:rsidR="008122A9" w:rsidRPr="008122A9" w:rsidTr="008122A9">
        <w:trPr>
          <w:trHeight w:val="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активів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4,2455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2 118,50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</w:tr>
      <w:tr w:rsidR="008122A9" w:rsidRPr="008122A9" w:rsidTr="008122A9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Виручка від реалізації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2,5877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1 604,37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8122A9" w:rsidRPr="008122A9" w:rsidTr="008122A9"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9" w:rsidRPr="008122A9" w:rsidRDefault="008122A9" w:rsidP="00812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вартість підприємства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A9" w:rsidRPr="008122A9" w:rsidRDefault="008122A9" w:rsidP="008122A9">
            <w:pPr>
              <w:tabs>
                <w:tab w:val="left" w:pos="3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 xml:space="preserve">1 770 </w:t>
            </w:r>
            <w:proofErr w:type="spellStart"/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тыс</w:t>
            </w:r>
            <w:proofErr w:type="spellEnd"/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r w:rsidRPr="008122A9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8122A9" w:rsidRPr="008122A9" w:rsidRDefault="008122A9" w:rsidP="008122A9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8122A9">
        <w:rPr>
          <w:rFonts w:ascii="Times New Roman" w:hAnsi="Times New Roman" w:cs="Times New Roman"/>
          <w:sz w:val="24"/>
          <w:lang w:val="uk-UA"/>
        </w:rPr>
        <w:t>Таким чином, вартість власного капіталу оцінюваного підприємства за результатами застосування порівняльного підходу складе 1770 тис. грн.</w:t>
      </w:r>
    </w:p>
    <w:p w:rsidR="00FA4369" w:rsidRDefault="00FA4369" w:rsidP="00FA436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FA4369">
        <w:rPr>
          <w:rFonts w:ascii="Times New Roman" w:hAnsi="Times New Roman" w:cs="Times New Roman"/>
          <w:b/>
          <w:sz w:val="24"/>
          <w:u w:val="single"/>
          <w:lang w:val="uk-UA"/>
        </w:rPr>
        <w:t>Задачі для самостійного розв’язання</w:t>
      </w:r>
    </w:p>
    <w:p w:rsidR="00FA4369" w:rsidRPr="00FA4369" w:rsidRDefault="00FA4369" w:rsidP="00D05DAE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Задача 1</w:t>
      </w:r>
    </w:p>
    <w:p w:rsidR="008122A9" w:rsidRDefault="00FA4369" w:rsidP="00FA4369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A4369">
        <w:rPr>
          <w:rFonts w:ascii="Times New Roman" w:hAnsi="Times New Roman" w:cs="Times New Roman"/>
          <w:sz w:val="24"/>
          <w:lang w:val="uk-UA"/>
        </w:rPr>
        <w:t>У бізнес-плані підприємства, створюваного для освоєння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FA4369">
        <w:rPr>
          <w:rFonts w:ascii="Times New Roman" w:hAnsi="Times New Roman" w:cs="Times New Roman"/>
          <w:sz w:val="24"/>
          <w:lang w:val="uk-UA"/>
        </w:rPr>
        <w:t>нового продукту, значиться, що його оч</w:t>
      </w:r>
      <w:r>
        <w:rPr>
          <w:rFonts w:ascii="Times New Roman" w:hAnsi="Times New Roman" w:cs="Times New Roman"/>
          <w:sz w:val="24"/>
          <w:lang w:val="uk-UA"/>
        </w:rPr>
        <w:t xml:space="preserve">ікувані балансовий прибуток (за </w:t>
      </w:r>
      <w:r w:rsidRPr="00FA4369">
        <w:rPr>
          <w:rFonts w:ascii="Times New Roman" w:hAnsi="Times New Roman" w:cs="Times New Roman"/>
          <w:sz w:val="24"/>
          <w:lang w:val="uk-UA"/>
        </w:rPr>
        <w:t xml:space="preserve">вирахуванням податку на майно та інших </w:t>
      </w:r>
      <w:r>
        <w:rPr>
          <w:rFonts w:ascii="Times New Roman" w:hAnsi="Times New Roman" w:cs="Times New Roman"/>
          <w:sz w:val="24"/>
          <w:lang w:val="uk-UA"/>
        </w:rPr>
        <w:t xml:space="preserve">обов'язкових платежів і зборів, </w:t>
      </w:r>
      <w:r w:rsidRPr="00FA4369">
        <w:rPr>
          <w:rFonts w:ascii="Times New Roman" w:hAnsi="Times New Roman" w:cs="Times New Roman"/>
          <w:sz w:val="24"/>
          <w:lang w:val="uk-UA"/>
        </w:rPr>
        <w:t>стягуються з балансового прибутку) і балан</w:t>
      </w:r>
      <w:r>
        <w:rPr>
          <w:rFonts w:ascii="Times New Roman" w:hAnsi="Times New Roman" w:cs="Times New Roman"/>
          <w:sz w:val="24"/>
          <w:lang w:val="uk-UA"/>
        </w:rPr>
        <w:t xml:space="preserve">сова вартість активів через рік </w:t>
      </w:r>
      <w:r w:rsidRPr="00FA4369">
        <w:rPr>
          <w:rFonts w:ascii="Times New Roman" w:hAnsi="Times New Roman" w:cs="Times New Roman"/>
          <w:sz w:val="24"/>
          <w:lang w:val="uk-UA"/>
        </w:rPr>
        <w:t xml:space="preserve">складуть відповідно 20 і 110 млн.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FA4369">
        <w:rPr>
          <w:rFonts w:ascii="Times New Roman" w:hAnsi="Times New Roman" w:cs="Times New Roman"/>
          <w:sz w:val="24"/>
          <w:lang w:val="uk-UA"/>
        </w:rPr>
        <w:t xml:space="preserve">. У </w:t>
      </w:r>
      <w:r>
        <w:rPr>
          <w:rFonts w:ascii="Times New Roman" w:hAnsi="Times New Roman" w:cs="Times New Roman"/>
          <w:sz w:val="24"/>
          <w:lang w:val="uk-UA"/>
        </w:rPr>
        <w:t xml:space="preserve">цьому ж документі зазначено, що </w:t>
      </w:r>
      <w:r w:rsidRPr="00FA4369">
        <w:rPr>
          <w:rFonts w:ascii="Times New Roman" w:hAnsi="Times New Roman" w:cs="Times New Roman"/>
          <w:sz w:val="24"/>
          <w:lang w:val="uk-UA"/>
        </w:rPr>
        <w:t>підприємство через рік матиме непогаше</w:t>
      </w:r>
      <w:r>
        <w:rPr>
          <w:rFonts w:ascii="Times New Roman" w:hAnsi="Times New Roman" w:cs="Times New Roman"/>
          <w:sz w:val="24"/>
          <w:lang w:val="uk-UA"/>
        </w:rPr>
        <w:t>ні борги на суму 15 млн. грн</w:t>
      </w:r>
      <w:r w:rsidRPr="00FA4369">
        <w:rPr>
          <w:rFonts w:ascii="Times New Roman" w:hAnsi="Times New Roman" w:cs="Times New Roman"/>
          <w:sz w:val="24"/>
          <w:lang w:val="uk-UA"/>
        </w:rPr>
        <w:t>. і за рік з неоподатковуваної части</w:t>
      </w:r>
      <w:r>
        <w:rPr>
          <w:rFonts w:ascii="Times New Roman" w:hAnsi="Times New Roman" w:cs="Times New Roman"/>
          <w:sz w:val="24"/>
          <w:lang w:val="uk-UA"/>
        </w:rPr>
        <w:t xml:space="preserve">ни прибутку виплатить відсотків </w:t>
      </w:r>
      <w:r w:rsidRPr="00FA4369">
        <w:rPr>
          <w:rFonts w:ascii="Times New Roman" w:hAnsi="Times New Roman" w:cs="Times New Roman"/>
          <w:sz w:val="24"/>
          <w:lang w:val="uk-UA"/>
        </w:rPr>
        <w:t xml:space="preserve">по кредитах на суму 5 млн.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FA4369">
        <w:rPr>
          <w:rFonts w:ascii="Times New Roman" w:hAnsi="Times New Roman" w:cs="Times New Roman"/>
          <w:sz w:val="24"/>
          <w:lang w:val="uk-UA"/>
        </w:rPr>
        <w:t>. Ставка подат</w:t>
      </w:r>
      <w:r>
        <w:rPr>
          <w:rFonts w:ascii="Times New Roman" w:hAnsi="Times New Roman" w:cs="Times New Roman"/>
          <w:sz w:val="24"/>
          <w:lang w:val="uk-UA"/>
        </w:rPr>
        <w:t xml:space="preserve">ку на прибуток, що закладається </w:t>
      </w:r>
      <w:r w:rsidRPr="00FA4369">
        <w:rPr>
          <w:rFonts w:ascii="Times New Roman" w:hAnsi="Times New Roman" w:cs="Times New Roman"/>
          <w:sz w:val="24"/>
          <w:lang w:val="uk-UA"/>
        </w:rPr>
        <w:t>в бізнес-план, дорівнює 34%. З о</w:t>
      </w:r>
      <w:r>
        <w:rPr>
          <w:rFonts w:ascii="Times New Roman" w:hAnsi="Times New Roman" w:cs="Times New Roman"/>
          <w:sz w:val="24"/>
          <w:lang w:val="uk-UA"/>
        </w:rPr>
        <w:t xml:space="preserve">публікованого фінансового звіту </w:t>
      </w:r>
      <w:r w:rsidRPr="00FA4369">
        <w:rPr>
          <w:rFonts w:ascii="Times New Roman" w:hAnsi="Times New Roman" w:cs="Times New Roman"/>
          <w:sz w:val="24"/>
          <w:lang w:val="uk-UA"/>
        </w:rPr>
        <w:t>аналогічного підприємства (повн</w:t>
      </w:r>
      <w:r>
        <w:rPr>
          <w:rFonts w:ascii="Times New Roman" w:hAnsi="Times New Roman" w:cs="Times New Roman"/>
          <w:sz w:val="24"/>
          <w:lang w:val="uk-UA"/>
        </w:rPr>
        <w:t xml:space="preserve">істю спеціалізується на випуску </w:t>
      </w:r>
      <w:r w:rsidRPr="00FA4369">
        <w:rPr>
          <w:rFonts w:ascii="Times New Roman" w:hAnsi="Times New Roman" w:cs="Times New Roman"/>
          <w:sz w:val="24"/>
          <w:lang w:val="uk-UA"/>
        </w:rPr>
        <w:t>технічно близького продукту, я</w:t>
      </w:r>
      <w:r>
        <w:rPr>
          <w:rFonts w:ascii="Times New Roman" w:hAnsi="Times New Roman" w:cs="Times New Roman"/>
          <w:sz w:val="24"/>
          <w:lang w:val="uk-UA"/>
        </w:rPr>
        <w:t xml:space="preserve">кий задовольняє ті ж потреби, і </w:t>
      </w:r>
      <w:r w:rsidRPr="00FA4369">
        <w:rPr>
          <w:rFonts w:ascii="Times New Roman" w:hAnsi="Times New Roman" w:cs="Times New Roman"/>
          <w:sz w:val="24"/>
          <w:lang w:val="uk-UA"/>
        </w:rPr>
        <w:t>що є відкритим акціонерним то</w:t>
      </w:r>
      <w:r>
        <w:rPr>
          <w:rFonts w:ascii="Times New Roman" w:hAnsi="Times New Roman" w:cs="Times New Roman"/>
          <w:sz w:val="24"/>
          <w:lang w:val="uk-UA"/>
        </w:rPr>
        <w:t xml:space="preserve">вариством з ліквідними акціями) </w:t>
      </w:r>
      <w:r w:rsidRPr="00FA4369">
        <w:rPr>
          <w:rFonts w:ascii="Times New Roman" w:hAnsi="Times New Roman" w:cs="Times New Roman"/>
          <w:sz w:val="24"/>
          <w:lang w:val="uk-UA"/>
        </w:rPr>
        <w:t>випливає, що за кілька минулих</w:t>
      </w:r>
      <w:r>
        <w:rPr>
          <w:rFonts w:ascii="Times New Roman" w:hAnsi="Times New Roman" w:cs="Times New Roman"/>
          <w:sz w:val="24"/>
          <w:lang w:val="uk-UA"/>
        </w:rPr>
        <w:t xml:space="preserve"> років ставлення котирується на </w:t>
      </w:r>
      <w:r w:rsidRPr="00FA4369">
        <w:rPr>
          <w:rFonts w:ascii="Times New Roman" w:hAnsi="Times New Roman" w:cs="Times New Roman"/>
          <w:sz w:val="24"/>
          <w:lang w:val="uk-UA"/>
        </w:rPr>
        <w:t>фондовій біржі вартості однієї а</w:t>
      </w:r>
      <w:r>
        <w:rPr>
          <w:rFonts w:ascii="Times New Roman" w:hAnsi="Times New Roman" w:cs="Times New Roman"/>
          <w:sz w:val="24"/>
          <w:lang w:val="uk-UA"/>
        </w:rPr>
        <w:t xml:space="preserve">кції цього підприємства до його </w:t>
      </w:r>
      <w:r w:rsidRPr="00FA4369">
        <w:rPr>
          <w:rFonts w:ascii="Times New Roman" w:hAnsi="Times New Roman" w:cs="Times New Roman"/>
          <w:sz w:val="24"/>
          <w:lang w:val="uk-UA"/>
        </w:rPr>
        <w:t>що припадає на одну акцію річно</w:t>
      </w:r>
      <w:r>
        <w:rPr>
          <w:rFonts w:ascii="Times New Roman" w:hAnsi="Times New Roman" w:cs="Times New Roman"/>
          <w:sz w:val="24"/>
          <w:lang w:val="uk-UA"/>
        </w:rPr>
        <w:t xml:space="preserve">го прибутку після оподаткування </w:t>
      </w:r>
      <w:r w:rsidRPr="00FA4369">
        <w:rPr>
          <w:rFonts w:ascii="Times New Roman" w:hAnsi="Times New Roman" w:cs="Times New Roman"/>
          <w:sz w:val="24"/>
          <w:lang w:val="uk-UA"/>
        </w:rPr>
        <w:t>дорівнювала в середньому 5,1. М</w:t>
      </w:r>
      <w:r>
        <w:rPr>
          <w:rFonts w:ascii="Times New Roman" w:hAnsi="Times New Roman" w:cs="Times New Roman"/>
          <w:sz w:val="24"/>
          <w:lang w:val="uk-UA"/>
        </w:rPr>
        <w:t xml:space="preserve">ультиплікатор «Ціна / Балансова </w:t>
      </w:r>
      <w:r w:rsidRPr="00FA4369">
        <w:rPr>
          <w:rFonts w:ascii="Times New Roman" w:hAnsi="Times New Roman" w:cs="Times New Roman"/>
          <w:sz w:val="24"/>
          <w:lang w:val="uk-UA"/>
        </w:rPr>
        <w:t>вартість »по цьому підприємству скл</w:t>
      </w:r>
      <w:r>
        <w:rPr>
          <w:rFonts w:ascii="Times New Roman" w:hAnsi="Times New Roman" w:cs="Times New Roman"/>
          <w:sz w:val="24"/>
          <w:lang w:val="uk-UA"/>
        </w:rPr>
        <w:t xml:space="preserve">ав за ряд минулих років 2,2. Як </w:t>
      </w:r>
      <w:r w:rsidRPr="00FA4369">
        <w:rPr>
          <w:rFonts w:ascii="Times New Roman" w:hAnsi="Times New Roman" w:cs="Times New Roman"/>
          <w:sz w:val="24"/>
          <w:lang w:val="uk-UA"/>
        </w:rPr>
        <w:t>повинен буде оцінити інвестор майбутн</w:t>
      </w:r>
      <w:r>
        <w:rPr>
          <w:rFonts w:ascii="Times New Roman" w:hAnsi="Times New Roman" w:cs="Times New Roman"/>
          <w:sz w:val="24"/>
          <w:lang w:val="uk-UA"/>
        </w:rPr>
        <w:t xml:space="preserve">ю ринкову вартість створюваного </w:t>
      </w:r>
      <w:r w:rsidRPr="00FA4369">
        <w:rPr>
          <w:rFonts w:ascii="Times New Roman" w:hAnsi="Times New Roman" w:cs="Times New Roman"/>
          <w:sz w:val="24"/>
          <w:lang w:val="uk-UA"/>
        </w:rPr>
        <w:t>підприємства станом на рік вперед післ</w:t>
      </w:r>
      <w:r>
        <w:rPr>
          <w:rFonts w:ascii="Times New Roman" w:hAnsi="Times New Roman" w:cs="Times New Roman"/>
          <w:sz w:val="24"/>
          <w:lang w:val="uk-UA"/>
        </w:rPr>
        <w:t xml:space="preserve">я початку його діяльності, якщо </w:t>
      </w:r>
      <w:r w:rsidRPr="00FA4369">
        <w:rPr>
          <w:rFonts w:ascii="Times New Roman" w:hAnsi="Times New Roman" w:cs="Times New Roman"/>
          <w:sz w:val="24"/>
          <w:lang w:val="uk-UA"/>
        </w:rPr>
        <w:t>інвестор довіряє статистиці і пор</w:t>
      </w:r>
      <w:r>
        <w:rPr>
          <w:rFonts w:ascii="Times New Roman" w:hAnsi="Times New Roman" w:cs="Times New Roman"/>
          <w:sz w:val="24"/>
          <w:lang w:val="uk-UA"/>
        </w:rPr>
        <w:t xml:space="preserve">івнянності порівнюваних фірм по </w:t>
      </w:r>
      <w:r w:rsidRPr="00FA4369">
        <w:rPr>
          <w:rFonts w:ascii="Times New Roman" w:hAnsi="Times New Roman" w:cs="Times New Roman"/>
          <w:sz w:val="24"/>
          <w:lang w:val="uk-UA"/>
        </w:rPr>
        <w:t xml:space="preserve">мультиплікатору «Ціна </w:t>
      </w:r>
      <w:r w:rsidRPr="00FA4369">
        <w:rPr>
          <w:rFonts w:ascii="Times New Roman" w:hAnsi="Times New Roman" w:cs="Times New Roman"/>
          <w:sz w:val="24"/>
          <w:lang w:val="uk-UA"/>
        </w:rPr>
        <w:lastRenderedPageBreak/>
        <w:t>/ Прибуток» на</w:t>
      </w:r>
      <w:r>
        <w:rPr>
          <w:rFonts w:ascii="Times New Roman" w:hAnsi="Times New Roman" w:cs="Times New Roman"/>
          <w:sz w:val="24"/>
          <w:lang w:val="uk-UA"/>
        </w:rPr>
        <w:t xml:space="preserve"> 85% (суб'єктивна оцінка), а по </w:t>
      </w:r>
      <w:r w:rsidRPr="00FA4369">
        <w:rPr>
          <w:rFonts w:ascii="Times New Roman" w:hAnsi="Times New Roman" w:cs="Times New Roman"/>
          <w:sz w:val="24"/>
          <w:lang w:val="uk-UA"/>
        </w:rPr>
        <w:t>мультиплікатору «Ціна / Балансова вартість»</w:t>
      </w:r>
      <w:r>
        <w:rPr>
          <w:rFonts w:ascii="Times New Roman" w:hAnsi="Times New Roman" w:cs="Times New Roman"/>
          <w:sz w:val="24"/>
          <w:lang w:val="uk-UA"/>
        </w:rPr>
        <w:t xml:space="preserve"> - на 15% (маючи на увазі, що в </w:t>
      </w:r>
      <w:r w:rsidRPr="00FA4369">
        <w:rPr>
          <w:rFonts w:ascii="Times New Roman" w:hAnsi="Times New Roman" w:cs="Times New Roman"/>
          <w:sz w:val="24"/>
          <w:lang w:val="uk-UA"/>
        </w:rPr>
        <w:t>сумі даного методу оцінки він довіряє на 100%)?</w:t>
      </w:r>
    </w:p>
    <w:p w:rsidR="00D05DAE" w:rsidRDefault="00D05DAE" w:rsidP="00FA4369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05DAE" w:rsidRDefault="00D05DAE" w:rsidP="00D05DAE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Задача 2</w:t>
      </w:r>
    </w:p>
    <w:p w:rsidR="00D05DAE" w:rsidRPr="00D05DAE" w:rsidRDefault="00D05DAE" w:rsidP="00D05DAE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05DAE">
        <w:rPr>
          <w:rFonts w:ascii="Times New Roman" w:hAnsi="Times New Roman" w:cs="Times New Roman"/>
          <w:sz w:val="24"/>
          <w:lang w:val="uk-UA"/>
        </w:rPr>
        <w:t>Підприємства «Дон» і «Урал» аналогічні. Мультиплікатор Ціна / Чистий прибуток по підприємству «Дон» дорівнює 8. Чистий прибуток підпр</w:t>
      </w:r>
      <w:r>
        <w:rPr>
          <w:rFonts w:ascii="Times New Roman" w:hAnsi="Times New Roman" w:cs="Times New Roman"/>
          <w:sz w:val="24"/>
          <w:lang w:val="uk-UA"/>
        </w:rPr>
        <w:t>иємства «Урал» склала 450000 грн</w:t>
      </w:r>
      <w:r w:rsidRPr="00D05DAE">
        <w:rPr>
          <w:rFonts w:ascii="Times New Roman" w:hAnsi="Times New Roman" w:cs="Times New Roman"/>
          <w:sz w:val="24"/>
          <w:lang w:val="uk-UA"/>
        </w:rPr>
        <w:t>.; випущено 10000 акцій. Визначити вартість однієї акції підприємства «Урал».</w:t>
      </w:r>
    </w:p>
    <w:p w:rsidR="00D05DAE" w:rsidRPr="00FA4369" w:rsidRDefault="00D05DAE" w:rsidP="00FA4369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E207A" w:rsidRDefault="00C80158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Бабій О.М., Управління вартістю підприємства: Навчальний посібник</w:t>
      </w:r>
      <w:r w:rsid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442048">
        <w:rPr>
          <w:rFonts w:ascii="Times New Roman" w:hAnsi="Times New Roman" w:cs="Times New Roman"/>
          <w:sz w:val="24"/>
          <w:lang w:val="uk-UA"/>
        </w:rPr>
        <w:t>/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О.М.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>
        <w:rPr>
          <w:rFonts w:ascii="Times New Roman" w:hAnsi="Times New Roman" w:cs="Times New Roman"/>
          <w:sz w:val="24"/>
          <w:lang w:val="uk-UA"/>
        </w:rPr>
        <w:t xml:space="preserve">Бабій,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В.С.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Малишко</w:t>
      </w:r>
      <w:r w:rsidR="006A2A0A">
        <w:rPr>
          <w:rFonts w:ascii="Times New Roman" w:hAnsi="Times New Roman" w:cs="Times New Roman"/>
          <w:sz w:val="24"/>
          <w:lang w:val="uk-UA"/>
        </w:rPr>
        <w:t xml:space="preserve">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Г.О.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A2A0A" w:rsidRPr="0079092F">
        <w:rPr>
          <w:rFonts w:ascii="Times New Roman" w:hAnsi="Times New Roman" w:cs="Times New Roman"/>
          <w:sz w:val="24"/>
          <w:lang w:val="uk-UA"/>
        </w:rPr>
        <w:t>Пудичева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– Одеса: ОНЕУ, ротапринт, 2016. – 207 с.</w:t>
      </w:r>
    </w:p>
    <w:p w:rsidR="0079092F" w:rsidRDefault="00BE207A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Оцінка вартості підприємства (бізнесу)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/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О.А</w:t>
      </w:r>
      <w:r w:rsidR="0079092F">
        <w:rPr>
          <w:rFonts w:ascii="Times New Roman" w:hAnsi="Times New Roman" w:cs="Times New Roman"/>
          <w:sz w:val="24"/>
          <w:lang w:val="uk-UA"/>
        </w:rPr>
        <w:t>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Землянський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А.П.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Поляков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 М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.: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Дашков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і Ко, 2014.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256 с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 В.Є. Оцінка бізнесу: повне практичне керівництво: основні принципи, підходи і методи, прикладні аспекти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В.Є.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М: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Ексмо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2008.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345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бизнеса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Г.А.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Маховикова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. – М.: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Юрайт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2014. – 420 с.</w:t>
      </w:r>
    </w:p>
    <w:p w:rsidR="00442048" w:rsidRPr="0079092F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Комплексна оцінка вартості підприємства: монографія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/ 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д.е.н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М.Г. Чумаченка.- X.: Фактор, 2008.</w:t>
      </w:r>
      <w:r w:rsidR="0079092F">
        <w:rPr>
          <w:rFonts w:ascii="Times New Roman" w:hAnsi="Times New Roman" w:cs="Times New Roman"/>
          <w:sz w:val="24"/>
          <w:lang w:val="uk-UA"/>
        </w:rPr>
        <w:t xml:space="preserve"> 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278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 xml:space="preserve">Крупі П. В. Оцінка бізнесу: Навчальний посібник / П.В. Крупі, С.В.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Полищук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Київ: Центр навчальної літератури, 2004.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264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посібник / В.Р. Кучеренко, Я.П. Квач, Н.В.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- Київ: ЦУЛ, 2009.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200с.</w:t>
      </w:r>
    </w:p>
    <w:p w:rsidR="005D0EAD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 xml:space="preserve">Посібник з оцінки бізнесу в Україні.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посіб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, для виш.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закл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/</w:t>
      </w:r>
      <w:r w:rsidR="004E5B90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Я.І.Маркуса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- К.: М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леніум, 2002.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320 с.</w:t>
      </w:r>
    </w:p>
    <w:p w:rsidR="00FF2B49" w:rsidRPr="00280CEC" w:rsidRDefault="004E5B90" w:rsidP="00176C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едотова М.А.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Основы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имущества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М.А. 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>едотова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Т.Ю.Тазихина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. – М: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Кнорус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2011.</w:t>
      </w:r>
      <w:r w:rsidR="00FF2B49" w:rsidRPr="00280C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B49" w:rsidRPr="0028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A4" w:rsidRDefault="003560A4" w:rsidP="00BC33AD">
      <w:pPr>
        <w:spacing w:after="0" w:line="240" w:lineRule="auto"/>
      </w:pPr>
      <w:r>
        <w:separator/>
      </w:r>
    </w:p>
  </w:endnote>
  <w:endnote w:type="continuationSeparator" w:id="0">
    <w:p w:rsidR="003560A4" w:rsidRDefault="003560A4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AE" w:rsidRDefault="00D05D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AE" w:rsidRPr="00BC33AD" w:rsidRDefault="00D05DAE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D05DAE" w:rsidRDefault="00D05D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AE" w:rsidRDefault="00D05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A4" w:rsidRDefault="003560A4" w:rsidP="00BC33AD">
      <w:pPr>
        <w:spacing w:after="0" w:line="240" w:lineRule="auto"/>
      </w:pPr>
      <w:r>
        <w:separator/>
      </w:r>
    </w:p>
  </w:footnote>
  <w:footnote w:type="continuationSeparator" w:id="0">
    <w:p w:rsidR="003560A4" w:rsidRDefault="003560A4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AE" w:rsidRDefault="00D05D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5DAE" w:rsidRPr="00BC33AD" w:rsidRDefault="00D05DA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89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5DAE" w:rsidRDefault="00D05D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AE" w:rsidRDefault="00D05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A2D"/>
    <w:multiLevelType w:val="hybridMultilevel"/>
    <w:tmpl w:val="9340AD1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09F8"/>
    <w:multiLevelType w:val="hybridMultilevel"/>
    <w:tmpl w:val="3D3CAF66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47DC"/>
    <w:multiLevelType w:val="hybridMultilevel"/>
    <w:tmpl w:val="F536CA82"/>
    <w:lvl w:ilvl="0" w:tplc="5560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5BD4"/>
    <w:multiLevelType w:val="hybridMultilevel"/>
    <w:tmpl w:val="6CF45600"/>
    <w:lvl w:ilvl="0" w:tplc="89D6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289E"/>
    <w:multiLevelType w:val="hybridMultilevel"/>
    <w:tmpl w:val="FFBEB428"/>
    <w:lvl w:ilvl="0" w:tplc="E428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2CFD"/>
    <w:multiLevelType w:val="hybridMultilevel"/>
    <w:tmpl w:val="475C1CD6"/>
    <w:lvl w:ilvl="0" w:tplc="C4D8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1A86"/>
    <w:multiLevelType w:val="hybridMultilevel"/>
    <w:tmpl w:val="8DDA48A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F709E"/>
    <w:multiLevelType w:val="hybridMultilevel"/>
    <w:tmpl w:val="3E06B76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0202"/>
    <w:multiLevelType w:val="hybridMultilevel"/>
    <w:tmpl w:val="865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26476"/>
    <w:multiLevelType w:val="hybridMultilevel"/>
    <w:tmpl w:val="92FE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256C"/>
    <w:multiLevelType w:val="hybridMultilevel"/>
    <w:tmpl w:val="0D5AAB10"/>
    <w:lvl w:ilvl="0" w:tplc="3918C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27734"/>
    <w:multiLevelType w:val="hybridMultilevel"/>
    <w:tmpl w:val="D5FE32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F11BB"/>
    <w:multiLevelType w:val="hybridMultilevel"/>
    <w:tmpl w:val="C53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66931"/>
    <w:multiLevelType w:val="hybridMultilevel"/>
    <w:tmpl w:val="84701F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02ECA"/>
    <w:multiLevelType w:val="hybridMultilevel"/>
    <w:tmpl w:val="6D4A51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C1ECC"/>
    <w:multiLevelType w:val="hybridMultilevel"/>
    <w:tmpl w:val="50B226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503B7"/>
    <w:multiLevelType w:val="hybridMultilevel"/>
    <w:tmpl w:val="897A9E6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92232"/>
    <w:multiLevelType w:val="hybridMultilevel"/>
    <w:tmpl w:val="2E48D2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76ED5"/>
    <w:multiLevelType w:val="hybridMultilevel"/>
    <w:tmpl w:val="48A2C06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7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20"/>
  </w:num>
  <w:num w:numId="18">
    <w:abstractNumId w:val="21"/>
  </w:num>
  <w:num w:numId="19">
    <w:abstractNumId w:val="11"/>
  </w:num>
  <w:num w:numId="20">
    <w:abstractNumId w:val="18"/>
  </w:num>
  <w:num w:numId="21">
    <w:abstractNumId w:val="22"/>
  </w:num>
  <w:num w:numId="22">
    <w:abstractNumId w:val="2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5F0C"/>
    <w:rsid w:val="000824CD"/>
    <w:rsid w:val="00097A6D"/>
    <w:rsid w:val="001431C0"/>
    <w:rsid w:val="00151565"/>
    <w:rsid w:val="00176C16"/>
    <w:rsid w:val="0018373B"/>
    <w:rsid w:val="00220957"/>
    <w:rsid w:val="002E4479"/>
    <w:rsid w:val="003560A4"/>
    <w:rsid w:val="003C3012"/>
    <w:rsid w:val="00442048"/>
    <w:rsid w:val="004E5B90"/>
    <w:rsid w:val="0050615C"/>
    <w:rsid w:val="00507560"/>
    <w:rsid w:val="005D0EAD"/>
    <w:rsid w:val="005D11B6"/>
    <w:rsid w:val="005F7C30"/>
    <w:rsid w:val="006516A7"/>
    <w:rsid w:val="00651FC6"/>
    <w:rsid w:val="00677933"/>
    <w:rsid w:val="006A2A0A"/>
    <w:rsid w:val="006A789B"/>
    <w:rsid w:val="007308B0"/>
    <w:rsid w:val="007455A7"/>
    <w:rsid w:val="007904C1"/>
    <w:rsid w:val="0079092F"/>
    <w:rsid w:val="00805626"/>
    <w:rsid w:val="008122A9"/>
    <w:rsid w:val="008176AD"/>
    <w:rsid w:val="00894381"/>
    <w:rsid w:val="008C498D"/>
    <w:rsid w:val="009A4D82"/>
    <w:rsid w:val="009D3899"/>
    <w:rsid w:val="00A13F2A"/>
    <w:rsid w:val="00A81A16"/>
    <w:rsid w:val="00AD5F71"/>
    <w:rsid w:val="00AE5CA1"/>
    <w:rsid w:val="00B77441"/>
    <w:rsid w:val="00B82400"/>
    <w:rsid w:val="00BC33AD"/>
    <w:rsid w:val="00BD71A0"/>
    <w:rsid w:val="00BE207A"/>
    <w:rsid w:val="00C2231C"/>
    <w:rsid w:val="00C7607B"/>
    <w:rsid w:val="00C80158"/>
    <w:rsid w:val="00D05DAE"/>
    <w:rsid w:val="00E63AE7"/>
    <w:rsid w:val="00E90DCC"/>
    <w:rsid w:val="00F204B5"/>
    <w:rsid w:val="00F26772"/>
    <w:rsid w:val="00FA4369"/>
    <w:rsid w:val="00FB61BB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F2B49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FF2B49"/>
    <w:rPr>
      <w:sz w:val="24"/>
      <w:szCs w:val="24"/>
      <w:lang w:val="en-US"/>
    </w:rPr>
  </w:style>
  <w:style w:type="character" w:styleId="ad">
    <w:name w:val="Emphasis"/>
    <w:qFormat/>
    <w:rsid w:val="00FF2B49"/>
    <w:rPr>
      <w:i/>
      <w:iCs/>
    </w:rPr>
  </w:style>
  <w:style w:type="paragraph" w:customStyle="1" w:styleId="Style96">
    <w:name w:val="Style96"/>
    <w:basedOn w:val="a"/>
    <w:rsid w:val="008122A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40">
    <w:name w:val="Style140"/>
    <w:basedOn w:val="a"/>
    <w:rsid w:val="008122A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72">
    <w:name w:val="Style172"/>
    <w:basedOn w:val="a"/>
    <w:rsid w:val="008122A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64">
    <w:name w:val="Font Style264"/>
    <w:rsid w:val="008122A9"/>
    <w:rPr>
      <w:rFonts w:ascii="Arial Unicode MS" w:eastAsia="Arial Unicode MS" w:cs="Arial Unicode MS"/>
      <w:sz w:val="12"/>
      <w:szCs w:val="12"/>
    </w:rPr>
  </w:style>
  <w:style w:type="character" w:customStyle="1" w:styleId="FontStyle279">
    <w:name w:val="Font Style279"/>
    <w:rsid w:val="008122A9"/>
    <w:rPr>
      <w:rFonts w:ascii="Arial Unicode MS" w:eastAsia="Arial Unicode MS" w:cs="Arial Unicode MS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F2B49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FF2B49"/>
    <w:rPr>
      <w:sz w:val="24"/>
      <w:szCs w:val="24"/>
      <w:lang w:val="en-US"/>
    </w:rPr>
  </w:style>
  <w:style w:type="character" w:styleId="ad">
    <w:name w:val="Emphasis"/>
    <w:qFormat/>
    <w:rsid w:val="00FF2B49"/>
    <w:rPr>
      <w:i/>
      <w:iCs/>
    </w:rPr>
  </w:style>
  <w:style w:type="paragraph" w:customStyle="1" w:styleId="Style96">
    <w:name w:val="Style96"/>
    <w:basedOn w:val="a"/>
    <w:rsid w:val="008122A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40">
    <w:name w:val="Style140"/>
    <w:basedOn w:val="a"/>
    <w:rsid w:val="008122A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72">
    <w:name w:val="Style172"/>
    <w:basedOn w:val="a"/>
    <w:rsid w:val="008122A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264">
    <w:name w:val="Font Style264"/>
    <w:rsid w:val="008122A9"/>
    <w:rPr>
      <w:rFonts w:ascii="Arial Unicode MS" w:eastAsia="Arial Unicode MS" w:cs="Arial Unicode MS"/>
      <w:sz w:val="12"/>
      <w:szCs w:val="12"/>
    </w:rPr>
  </w:style>
  <w:style w:type="character" w:customStyle="1" w:styleId="FontStyle279">
    <w:name w:val="Font Style279"/>
    <w:rsid w:val="008122A9"/>
    <w:rPr>
      <w:rFonts w:ascii="Arial Unicode MS" w:eastAsia="Arial Unicode MS" w:cs="Arial Unicode MS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00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605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72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2017-11-16T10:34:00Z</cp:lastPrinted>
  <dcterms:created xsi:type="dcterms:W3CDTF">2017-11-12T09:12:00Z</dcterms:created>
  <dcterms:modified xsi:type="dcterms:W3CDTF">2017-11-16T10:45:00Z</dcterms:modified>
</cp:coreProperties>
</file>