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8" w:rsidRPr="005D2D7E" w:rsidRDefault="00F140C8" w:rsidP="00F140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5D2D7E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Тема 7 Витратний підхід до оцінки нерухомості</w:t>
      </w:r>
    </w:p>
    <w:p w:rsidR="00F140C8" w:rsidRPr="005D2D7E" w:rsidRDefault="00F140C8" w:rsidP="00F140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F140C8" w:rsidRDefault="00F140C8" w:rsidP="00F140C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Економічна сутність в</w:t>
      </w:r>
      <w:r w:rsidRPr="005D2D7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итратн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ого підхо</w:t>
      </w:r>
      <w:r w:rsidRPr="005D2D7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у</w:t>
      </w:r>
      <w:r w:rsidRPr="005D2D7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до оцінки нерухомості</w:t>
      </w:r>
    </w:p>
    <w:p w:rsidR="00F140C8" w:rsidRPr="005D2D7E" w:rsidRDefault="00F140C8" w:rsidP="00F140C8">
      <w:pPr>
        <w:pStyle w:val="a3"/>
        <w:numPr>
          <w:ilvl w:val="0"/>
          <w:numId w:val="26"/>
        </w:numP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5D2D7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Методи витратного підходу до оцінки нерухомості</w:t>
      </w:r>
    </w:p>
    <w:p w:rsidR="009B2FA6" w:rsidRPr="00A13F2A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3B5355" w:rsidRDefault="00DD5C44" w:rsidP="00DD5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C44">
        <w:rPr>
          <w:rFonts w:ascii="Times New Roman" w:hAnsi="Times New Roman" w:cs="Times New Roman"/>
          <w:bCs/>
          <w:sz w:val="24"/>
          <w:szCs w:val="24"/>
          <w:lang w:val="uk-UA"/>
        </w:rPr>
        <w:t>Витратний підхід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принцип заміщення, </w:t>
      </w:r>
      <w:r>
        <w:rPr>
          <w:rFonts w:ascii="Times New Roman" w:hAnsi="Times New Roman" w:cs="Times New Roman"/>
          <w:sz w:val="24"/>
          <w:szCs w:val="24"/>
          <w:lang w:val="uk-UA"/>
        </w:rPr>
        <w:t>оціночн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и, залишкова вартість відновлення (заміщення), вартість права користування земельної ділянки, прибуток забудовника, прямі витрати, непрямі витрати,</w:t>
      </w:r>
      <w:r w:rsidRPr="00DD5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 визначення витрат на основі вартості одиниці аналога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 вартості укрупнених елементів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кошторисний метод та метод розрахунку витрат на будівництво на підставі історичної вартості нерухомості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5C44" w:rsidRPr="00DD5C44" w:rsidRDefault="00DD5C44" w:rsidP="003B53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Default="00A13F2A" w:rsidP="00EC55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F140C8" w:rsidRP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C8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витратного підходу до оцінки нерухомості?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переваги та недоліки витратного підходу?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C8">
        <w:rPr>
          <w:rFonts w:ascii="Times New Roman" w:hAnsi="Times New Roman" w:cs="Times New Roman"/>
          <w:sz w:val="24"/>
          <w:szCs w:val="24"/>
          <w:lang w:val="uk-UA"/>
        </w:rPr>
        <w:t>Яка сфера застосування підходу?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якому принципі заснований витратний підхід?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послідовність оціночних процедур при витратному підході?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формула визначення вартості нерухомості згідно витратного підходу? Які її складові?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C8">
        <w:rPr>
          <w:rFonts w:ascii="Times New Roman" w:hAnsi="Times New Roman" w:cs="Times New Roman"/>
          <w:sz w:val="24"/>
          <w:szCs w:val="24"/>
          <w:lang w:val="uk-UA"/>
        </w:rPr>
        <w:t>Поясніть різницю між вартістю відтворення та вартістю заміщення?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витрати відносять до прямих і які до непрямих?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являє собою метод визначення витрат на основі вартості одиниці аналога?</w:t>
      </w:r>
    </w:p>
    <w:p w:rsidR="00F140C8" w:rsidRDefault="00F140C8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Чим характеризується метод вартості укрупнених елементів?</w:t>
      </w:r>
    </w:p>
    <w:p w:rsidR="00F140C8" w:rsidRPr="00F140C8" w:rsidRDefault="00792B3D" w:rsidP="00F140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Розкрийте кошторисний метод та метод розрахунку витрат на будівництво на підставі історичної вартості нерухомості.</w:t>
      </w:r>
    </w:p>
    <w:p w:rsidR="00AF649F" w:rsidRDefault="005D0EAD" w:rsidP="00F140C8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1. Витратний підхід до оцінки нерухомості застосовується: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 при виборі профілю об'єкта нерухомості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 при оцінці будівель спеціального призначення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 при придбанні об'єкту в спекулятивних цілях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 при виборі найкращого і найбільш ефективного використання земельної ділянки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2. При аналізі витрат на відтворення / заміщення об'єкта оцінки не можуть використовуватися: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довідники оціночної фірми;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кошторису будівництва;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програми уряду і прогнози;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збірники укрупнених показників відновної вартості і укрупнених показників вартості будівництва.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 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lastRenderedPageBreak/>
        <w:t>3. Визначте, в якому з нижче перерахованих висловлюванні, присутній фізичний знос: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багатоповерховий будинок без ліфта;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житловий район поруч з аеропортом;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 будинку протікає дах;</w:t>
      </w:r>
    </w:p>
    <w:p w:rsid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склад має «низька стеля», в ньому підвищена вологість.</w:t>
      </w:r>
    </w:p>
    <w:p w:rsidR="00DD5C44" w:rsidRPr="00792B3D" w:rsidRDefault="00DD5C44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4. Який підхід з нижче перерахованих є основоположним при визначенні вартості АЗС?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прибутковий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витратний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порівняльний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5. Витратний підхід заснований на економічному принципі: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заміщення;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очікування;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порівняння.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 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6. Оцінка об'єктів незавершених будівництвом проводиться в основному: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дохідним підходом;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витратним підходом;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порівняльним підходом.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7. Визначте, в якому з нижче перерахованих висловлюванні, присутній функціональний знос: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у будівлі немає зручного входу і виходу;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торговий центр, розташований в районі, де населення зменшується;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квартира розташована недалеко від жвавої магістралі;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 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8. Що з нижче перерахованого не включають в себе прямі витрати?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вартість будівельних матеріалів, виробів;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зароблену плату робітників;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вартість заходів з контролю за ходом будівництва;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витрати по рекламі;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проектно-вишукувальні роботи;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вартість експлуатації машин і устаткування.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 9. При новому будівництві, відповідному найкращому і найбільш ефективному використанню ділянки землі, вартість, визначена витратним методом, відповідає ринковій вартості.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вірно;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невірно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 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10. Відновлювальна вартість споруд визначається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кумулятивним методом;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lastRenderedPageBreak/>
        <w:t xml:space="preserve"> методом </w:t>
      </w:r>
      <w:proofErr w:type="spellStart"/>
      <w:r w:rsidRPr="00792B3D">
        <w:rPr>
          <w:rFonts w:ascii="Times New Roman" w:hAnsi="Times New Roman" w:cs="Times New Roman"/>
          <w:sz w:val="24"/>
          <w:lang w:val="uk-UA"/>
        </w:rPr>
        <w:t>поелементного</w:t>
      </w:r>
      <w:proofErr w:type="spellEnd"/>
      <w:r w:rsidRPr="00792B3D">
        <w:rPr>
          <w:rFonts w:ascii="Times New Roman" w:hAnsi="Times New Roman" w:cs="Times New Roman"/>
          <w:sz w:val="24"/>
          <w:lang w:val="uk-UA"/>
        </w:rPr>
        <w:t xml:space="preserve"> розрахунку;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методом вартості чистих активів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2B3D">
        <w:rPr>
          <w:rFonts w:ascii="Times New Roman" w:hAnsi="Times New Roman" w:cs="Times New Roman"/>
          <w:b/>
          <w:sz w:val="24"/>
          <w:lang w:val="uk-UA"/>
        </w:rPr>
        <w:t>11. Чи використовується витратний метод при оцінці будівель, що мають історичну цінність?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так;</w:t>
      </w:r>
    </w:p>
    <w:p w:rsid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 немає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DD5C44" w:rsidRDefault="00DD5C44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 w:rsidRPr="00792B3D">
        <w:rPr>
          <w:rFonts w:ascii="Times New Roman" w:hAnsi="Times New Roman" w:cs="Times New Roman"/>
          <w:b/>
          <w:bCs/>
          <w:sz w:val="24"/>
          <w:lang w:val="uk-UA"/>
        </w:rPr>
        <w:t>12. Витратний підхід є найбільш привабливим для оцінювання:</w:t>
      </w:r>
    </w:p>
    <w:p w:rsidR="00792B3D" w:rsidRDefault="00792B3D" w:rsidP="00792B3D">
      <w:pPr>
        <w:pStyle w:val="a3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об’єктів нового будівництва;</w:t>
      </w:r>
    </w:p>
    <w:p w:rsidR="00792B3D" w:rsidRDefault="00792B3D" w:rsidP="00792B3D">
      <w:pPr>
        <w:pStyle w:val="a3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інвес</w:t>
      </w:r>
      <w:r>
        <w:rPr>
          <w:rFonts w:ascii="Times New Roman" w:hAnsi="Times New Roman" w:cs="Times New Roman"/>
          <w:sz w:val="24"/>
          <w:lang w:val="uk-UA"/>
        </w:rPr>
        <w:t>тиційних проектів;</w:t>
      </w:r>
    </w:p>
    <w:p w:rsidR="00792B3D" w:rsidRDefault="00792B3D" w:rsidP="00792B3D">
      <w:pPr>
        <w:pStyle w:val="a3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земельної ділянки;</w:t>
      </w:r>
    </w:p>
    <w:p w:rsidR="00792B3D" w:rsidRPr="00792B3D" w:rsidRDefault="00792B3D" w:rsidP="00792B3D">
      <w:pPr>
        <w:pStyle w:val="a3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залогових об’єктів.</w:t>
      </w: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92B3D" w:rsidRPr="00792B3D" w:rsidRDefault="00792B3D" w:rsidP="00792B3D">
      <w:pPr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 w:rsidRPr="00792B3D">
        <w:rPr>
          <w:rFonts w:ascii="Times New Roman" w:hAnsi="Times New Roman" w:cs="Times New Roman"/>
          <w:b/>
          <w:bCs/>
          <w:sz w:val="24"/>
          <w:lang w:val="uk-UA"/>
        </w:rPr>
        <w:t>13. Витратний підхід недоцільно використовувати:</w:t>
      </w:r>
    </w:p>
    <w:p w:rsidR="00792B3D" w:rsidRDefault="00792B3D" w:rsidP="00792B3D">
      <w:pPr>
        <w:pStyle w:val="a3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під час оцінки об’єктів, що реконструюються;</w:t>
      </w:r>
    </w:p>
    <w:p w:rsidR="00792B3D" w:rsidRDefault="00792B3D" w:rsidP="00792B3D">
      <w:pPr>
        <w:pStyle w:val="a3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для оцінки об’єктів незавершеного будівництва;</w:t>
      </w:r>
    </w:p>
    <w:p w:rsidR="00792B3D" w:rsidRPr="00792B3D" w:rsidRDefault="00792B3D" w:rsidP="00792B3D">
      <w:pPr>
        <w:pStyle w:val="a3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при оцінці об’єктів, ринок купівлі-продажу яких існує та достатньо</w:t>
      </w:r>
    </w:p>
    <w:p w:rsidR="00792B3D" w:rsidRDefault="00792B3D" w:rsidP="00792B3D">
      <w:p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розвинутий;</w:t>
      </w:r>
    </w:p>
    <w:p w:rsidR="00792B3D" w:rsidRPr="00792B3D" w:rsidRDefault="00792B3D" w:rsidP="00792B3D">
      <w:pPr>
        <w:pStyle w:val="a3"/>
        <w:numPr>
          <w:ilvl w:val="0"/>
          <w:numId w:val="30"/>
        </w:numPr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під час приватизації.</w:t>
      </w:r>
    </w:p>
    <w:p w:rsidR="00792B3D" w:rsidRDefault="00792B3D" w:rsidP="00792B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792B3D" w:rsidRPr="00792B3D" w:rsidRDefault="00792B3D" w:rsidP="00792B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92B3D">
        <w:rPr>
          <w:rFonts w:ascii="Times New Roman" w:hAnsi="Times New Roman" w:cs="Times New Roman"/>
          <w:b/>
          <w:sz w:val="24"/>
          <w:u w:val="single"/>
          <w:lang w:val="uk-UA"/>
        </w:rPr>
        <w:t>Розрахункові завдання</w:t>
      </w:r>
    </w:p>
    <w:p w:rsidR="00792B3D" w:rsidRPr="00792B3D" w:rsidRDefault="00792B3D" w:rsidP="00792B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92B3D">
        <w:rPr>
          <w:rFonts w:ascii="Times New Roman" w:hAnsi="Times New Roman" w:cs="Times New Roman"/>
          <w:b/>
          <w:sz w:val="24"/>
          <w:u w:val="single"/>
          <w:lang w:val="uk-UA"/>
        </w:rPr>
        <w:t>Завдання 1.</w:t>
      </w:r>
    </w:p>
    <w:p w:rsidR="00792B3D" w:rsidRPr="00792B3D" w:rsidRDefault="00DD5C44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Постановка завдання: р</w:t>
      </w:r>
      <w:r w:rsidR="00792B3D" w:rsidRPr="00792B3D">
        <w:rPr>
          <w:rFonts w:ascii="Times New Roman" w:hAnsi="Times New Roman" w:cs="Times New Roman"/>
          <w:sz w:val="24"/>
          <w:lang w:val="uk-UA"/>
        </w:rPr>
        <w:t>озрахувати абсолютний розмір знецінення об’єкта</w:t>
      </w:r>
      <w:r w:rsidR="00792B3D">
        <w:rPr>
          <w:rFonts w:ascii="Times New Roman" w:hAnsi="Times New Roman" w:cs="Times New Roman"/>
          <w:sz w:val="24"/>
          <w:lang w:val="uk-UA"/>
        </w:rPr>
        <w:t xml:space="preserve"> </w:t>
      </w:r>
      <w:r w:rsidR="00792B3D" w:rsidRPr="00792B3D">
        <w:rPr>
          <w:rFonts w:ascii="Times New Roman" w:hAnsi="Times New Roman" w:cs="Times New Roman"/>
          <w:sz w:val="24"/>
          <w:lang w:val="uk-UA"/>
        </w:rPr>
        <w:t>нерухомості під впливом фізичного зносу.</w:t>
      </w:r>
    </w:p>
    <w:p w:rsidR="00792B3D" w:rsidRPr="00792B3D" w:rsidRDefault="00792B3D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Вихідні дані: Первісна вартість об'єкта нерухомості становить 200 000грн.</w:t>
      </w:r>
    </w:p>
    <w:p w:rsidR="00792B3D" w:rsidRPr="00792B3D" w:rsidRDefault="00792B3D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Фізичний знос окремих елементів будинку характеризується даними,</w:t>
      </w:r>
    </w:p>
    <w:p w:rsidR="00792B3D" w:rsidRDefault="00792B3D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2B3D">
        <w:rPr>
          <w:rFonts w:ascii="Times New Roman" w:hAnsi="Times New Roman" w:cs="Times New Roman"/>
          <w:sz w:val="24"/>
          <w:lang w:val="uk-UA"/>
        </w:rPr>
        <w:t>наведеними у таблиці.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C44" w:rsidTr="00DD5C44">
        <w:tc>
          <w:tcPr>
            <w:tcW w:w="3190" w:type="dxa"/>
          </w:tcPr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Елементи будівлі</w:t>
            </w:r>
          </w:p>
        </w:tc>
        <w:tc>
          <w:tcPr>
            <w:tcW w:w="3190" w:type="dxa"/>
          </w:tcPr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Ступінь зносу</w:t>
            </w:r>
          </w:p>
        </w:tc>
        <w:tc>
          <w:tcPr>
            <w:tcW w:w="3191" w:type="dxa"/>
          </w:tcPr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Питома вага</w:t>
            </w:r>
          </w:p>
        </w:tc>
      </w:tr>
      <w:tr w:rsidR="00DD5C44" w:rsidTr="00DD5C44">
        <w:tc>
          <w:tcPr>
            <w:tcW w:w="3190" w:type="dxa"/>
          </w:tcPr>
          <w:p w:rsidR="00DD5C44" w:rsidRDefault="00DD5C44" w:rsidP="00DD5C44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DD5C44" w:rsidRPr="00792B3D" w:rsidRDefault="00DD5C44" w:rsidP="00DD5C44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Фундамент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Перекриття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Підлоги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lang w:val="uk-UA"/>
              </w:rPr>
              <w:t>Перегородки</w:t>
            </w:r>
          </w:p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90" w:type="dxa"/>
          </w:tcPr>
          <w:p w:rsidR="00DD5C44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15%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7%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30%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20%</w:t>
            </w:r>
          </w:p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91" w:type="dxa"/>
          </w:tcPr>
          <w:p w:rsidR="00DD5C44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bookmarkStart w:id="0" w:name="_GoBack"/>
            <w:bookmarkEnd w:id="0"/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12%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9%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7%</w:t>
            </w:r>
          </w:p>
          <w:p w:rsidR="00DD5C44" w:rsidRPr="00792B3D" w:rsidRDefault="00DD5C44" w:rsidP="00DD5C44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792B3D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11%</w:t>
            </w:r>
          </w:p>
          <w:p w:rsidR="00DD5C44" w:rsidRDefault="00DD5C44" w:rsidP="00792B3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DD5C44" w:rsidRPr="00792B3D" w:rsidRDefault="00DD5C44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92B3D" w:rsidRDefault="00792B3D" w:rsidP="00792B3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92B3D" w:rsidRPr="00DD5C44" w:rsidRDefault="00792B3D" w:rsidP="00792B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D5C44">
        <w:rPr>
          <w:rFonts w:ascii="Times New Roman" w:hAnsi="Times New Roman" w:cs="Times New Roman"/>
          <w:b/>
          <w:sz w:val="24"/>
          <w:u w:val="single"/>
          <w:lang w:val="uk-UA"/>
        </w:rPr>
        <w:t>Завдання 2.</w:t>
      </w:r>
    </w:p>
    <w:p w:rsidR="00792B3D" w:rsidRPr="00DD5C44" w:rsidRDefault="00792B3D" w:rsidP="00DD5C44">
      <w:p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Постановка завдання: Визначити витратним підходом вартість дачі.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Вихідні дані: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площа дачі = 50м2, вартість будівництва 1м2 – 2000 грн.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площа гаража = 60 м2, вартість будівництва 1 м2 – 1000 грн.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lastRenderedPageBreak/>
        <w:t>- вартість усіх інших споруд на дачі – 20000 грн.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усунений фізичний знос будівель – 30000 грн.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неусунений фізичний знос будівель – 15%.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усунене функціональне старіння – 10000 грн.</w:t>
      </w:r>
    </w:p>
    <w:p w:rsidR="00792B3D" w:rsidRPr="00DD5C44" w:rsidRDefault="00792B3D" w:rsidP="00DD5C44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DD5C44">
        <w:rPr>
          <w:rFonts w:ascii="Times New Roman" w:hAnsi="Times New Roman" w:cs="Times New Roman"/>
          <w:sz w:val="24"/>
          <w:lang w:val="uk-UA"/>
        </w:rPr>
        <w:t>- ринкова вартість земельної ділянки – 50000 грн.</w:t>
      </w:r>
    </w:p>
    <w:p w:rsidR="00DD5C44" w:rsidRDefault="00DD5C44" w:rsidP="00DD5C44">
      <w:pPr>
        <w:tabs>
          <w:tab w:val="left" w:pos="379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E207A" w:rsidRDefault="00C80158" w:rsidP="00475CB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EC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EC55AE">
      <w:pPr>
        <w:pStyle w:val="a3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B5" w:rsidRDefault="004F5FB5" w:rsidP="00BC33AD">
      <w:pPr>
        <w:spacing w:after="0" w:line="240" w:lineRule="auto"/>
      </w:pPr>
      <w:r>
        <w:separator/>
      </w:r>
    </w:p>
  </w:endnote>
  <w:endnote w:type="continuationSeparator" w:id="0">
    <w:p w:rsidR="004F5FB5" w:rsidRDefault="004F5FB5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B5" w:rsidRDefault="004F5FB5" w:rsidP="00BC33AD">
      <w:pPr>
        <w:spacing w:after="0" w:line="240" w:lineRule="auto"/>
      </w:pPr>
      <w:r>
        <w:separator/>
      </w:r>
    </w:p>
  </w:footnote>
  <w:footnote w:type="continuationSeparator" w:id="0">
    <w:p w:rsidR="004F5FB5" w:rsidRDefault="004F5FB5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C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58A"/>
    <w:multiLevelType w:val="hybridMultilevel"/>
    <w:tmpl w:val="AA840C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AE"/>
    <w:multiLevelType w:val="hybridMultilevel"/>
    <w:tmpl w:val="B7F47C9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E50"/>
    <w:multiLevelType w:val="hybridMultilevel"/>
    <w:tmpl w:val="9CA0326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04AC"/>
    <w:multiLevelType w:val="hybridMultilevel"/>
    <w:tmpl w:val="5BD699D4"/>
    <w:lvl w:ilvl="0" w:tplc="0434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7000"/>
    <w:multiLevelType w:val="hybridMultilevel"/>
    <w:tmpl w:val="F0DEF4C0"/>
    <w:lvl w:ilvl="0" w:tplc="F432AB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087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29F9"/>
    <w:multiLevelType w:val="hybridMultilevel"/>
    <w:tmpl w:val="EDCC65E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5BF"/>
    <w:multiLevelType w:val="hybridMultilevel"/>
    <w:tmpl w:val="93D84584"/>
    <w:lvl w:ilvl="0" w:tplc="3CD4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1DB"/>
    <w:multiLevelType w:val="hybridMultilevel"/>
    <w:tmpl w:val="9F4E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56703"/>
    <w:multiLevelType w:val="hybridMultilevel"/>
    <w:tmpl w:val="B86CB4A0"/>
    <w:lvl w:ilvl="0" w:tplc="116CA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03DE"/>
    <w:multiLevelType w:val="hybridMultilevel"/>
    <w:tmpl w:val="F8C6578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B611F"/>
    <w:multiLevelType w:val="hybridMultilevel"/>
    <w:tmpl w:val="5484C5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B018D"/>
    <w:multiLevelType w:val="hybridMultilevel"/>
    <w:tmpl w:val="45F66AC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12A8"/>
    <w:multiLevelType w:val="hybridMultilevel"/>
    <w:tmpl w:val="B34AA9B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922E0"/>
    <w:multiLevelType w:val="hybridMultilevel"/>
    <w:tmpl w:val="4C469DF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C5360"/>
    <w:multiLevelType w:val="hybridMultilevel"/>
    <w:tmpl w:val="962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A1C8A"/>
    <w:multiLevelType w:val="hybridMultilevel"/>
    <w:tmpl w:val="33D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2B13"/>
    <w:multiLevelType w:val="hybridMultilevel"/>
    <w:tmpl w:val="70363E4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46230"/>
    <w:multiLevelType w:val="hybridMultilevel"/>
    <w:tmpl w:val="24CE59C4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F01600"/>
    <w:multiLevelType w:val="hybridMultilevel"/>
    <w:tmpl w:val="4A480CC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30D3"/>
    <w:multiLevelType w:val="hybridMultilevel"/>
    <w:tmpl w:val="3DD0B7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1C66"/>
    <w:multiLevelType w:val="hybridMultilevel"/>
    <w:tmpl w:val="36EEBBEC"/>
    <w:lvl w:ilvl="0" w:tplc="65AAA3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301F3A"/>
    <w:multiLevelType w:val="hybridMultilevel"/>
    <w:tmpl w:val="476E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1202"/>
    <w:multiLevelType w:val="hybridMultilevel"/>
    <w:tmpl w:val="F3D6018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A6F7D"/>
    <w:multiLevelType w:val="hybridMultilevel"/>
    <w:tmpl w:val="9D9CDE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745B1"/>
    <w:multiLevelType w:val="hybridMultilevel"/>
    <w:tmpl w:val="C8588348"/>
    <w:lvl w:ilvl="0" w:tplc="C2909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B61AB7"/>
    <w:multiLevelType w:val="hybridMultilevel"/>
    <w:tmpl w:val="040EDD4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30F73"/>
    <w:multiLevelType w:val="hybridMultilevel"/>
    <w:tmpl w:val="D57A531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5FC6"/>
    <w:multiLevelType w:val="hybridMultilevel"/>
    <w:tmpl w:val="9072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5"/>
  </w:num>
  <w:num w:numId="5">
    <w:abstractNumId w:val="27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22"/>
  </w:num>
  <w:num w:numId="14">
    <w:abstractNumId w:val="5"/>
  </w:num>
  <w:num w:numId="15">
    <w:abstractNumId w:val="8"/>
  </w:num>
  <w:num w:numId="16">
    <w:abstractNumId w:val="28"/>
  </w:num>
  <w:num w:numId="17">
    <w:abstractNumId w:val="15"/>
  </w:num>
  <w:num w:numId="18">
    <w:abstractNumId w:val="29"/>
  </w:num>
  <w:num w:numId="19">
    <w:abstractNumId w:val="19"/>
  </w:num>
  <w:num w:numId="20">
    <w:abstractNumId w:val="26"/>
  </w:num>
  <w:num w:numId="21">
    <w:abstractNumId w:val="10"/>
  </w:num>
  <w:num w:numId="22">
    <w:abstractNumId w:val="7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9"/>
  </w:num>
  <w:num w:numId="28">
    <w:abstractNumId w:val="24"/>
  </w:num>
  <w:num w:numId="29">
    <w:abstractNumId w:val="18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439B"/>
    <w:rsid w:val="0005311B"/>
    <w:rsid w:val="000D0445"/>
    <w:rsid w:val="00193458"/>
    <w:rsid w:val="00193FBD"/>
    <w:rsid w:val="001C2F24"/>
    <w:rsid w:val="002A2FB7"/>
    <w:rsid w:val="002C555E"/>
    <w:rsid w:val="00316674"/>
    <w:rsid w:val="00344396"/>
    <w:rsid w:val="00364D02"/>
    <w:rsid w:val="003B5355"/>
    <w:rsid w:val="003C73EC"/>
    <w:rsid w:val="00442048"/>
    <w:rsid w:val="00475CB2"/>
    <w:rsid w:val="004A0435"/>
    <w:rsid w:val="004F5FB5"/>
    <w:rsid w:val="004F61D6"/>
    <w:rsid w:val="0050615C"/>
    <w:rsid w:val="00551654"/>
    <w:rsid w:val="005C69A3"/>
    <w:rsid w:val="005D0EAD"/>
    <w:rsid w:val="00651FC6"/>
    <w:rsid w:val="00672180"/>
    <w:rsid w:val="00691949"/>
    <w:rsid w:val="006A2A0A"/>
    <w:rsid w:val="00773792"/>
    <w:rsid w:val="0079092F"/>
    <w:rsid w:val="00792B3D"/>
    <w:rsid w:val="008176AD"/>
    <w:rsid w:val="00827BF1"/>
    <w:rsid w:val="00894381"/>
    <w:rsid w:val="008F62AC"/>
    <w:rsid w:val="00933498"/>
    <w:rsid w:val="00967CA9"/>
    <w:rsid w:val="009808D4"/>
    <w:rsid w:val="009B2FA6"/>
    <w:rsid w:val="00A13F2A"/>
    <w:rsid w:val="00A32A9B"/>
    <w:rsid w:val="00A4590B"/>
    <w:rsid w:val="00AC2582"/>
    <w:rsid w:val="00AF649F"/>
    <w:rsid w:val="00BB5A32"/>
    <w:rsid w:val="00BC33AD"/>
    <w:rsid w:val="00BE207A"/>
    <w:rsid w:val="00C32B4A"/>
    <w:rsid w:val="00C80158"/>
    <w:rsid w:val="00D75F5F"/>
    <w:rsid w:val="00DD4F73"/>
    <w:rsid w:val="00DD5C44"/>
    <w:rsid w:val="00DE28B1"/>
    <w:rsid w:val="00DE7C7E"/>
    <w:rsid w:val="00E30A55"/>
    <w:rsid w:val="00E63AE7"/>
    <w:rsid w:val="00E70A2D"/>
    <w:rsid w:val="00EC2597"/>
    <w:rsid w:val="00EC55AE"/>
    <w:rsid w:val="00ED0141"/>
    <w:rsid w:val="00F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2017-11-19T17:32:00Z</cp:lastPrinted>
  <dcterms:created xsi:type="dcterms:W3CDTF">2017-11-12T09:12:00Z</dcterms:created>
  <dcterms:modified xsi:type="dcterms:W3CDTF">2017-11-19T17:36:00Z</dcterms:modified>
</cp:coreProperties>
</file>