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EF" w:rsidRPr="003F2AEF" w:rsidRDefault="005D2D7E" w:rsidP="003F2AEF">
      <w:pPr>
        <w:widowControl w:val="0"/>
        <w:autoSpaceDE w:val="0"/>
        <w:autoSpaceDN w:val="0"/>
        <w:adjustRightInd w:val="0"/>
        <w:spacing w:after="0"/>
        <w:ind w:firstLine="709"/>
        <w:jc w:val="center"/>
        <w:rPr>
          <w:rFonts w:ascii="Times New Roman" w:eastAsia="Times New Roman" w:hAnsi="Times New Roman"/>
          <w:b/>
          <w:bCs/>
          <w:sz w:val="28"/>
          <w:szCs w:val="28"/>
          <w:lang w:val="uk-UA" w:eastAsia="ru-RU"/>
        </w:rPr>
      </w:pPr>
      <w:bookmarkStart w:id="0" w:name="_GoBack"/>
      <w:r w:rsidRPr="00856EF4">
        <w:rPr>
          <w:rFonts w:ascii="Times New Roman" w:eastAsia="Times New Roman" w:hAnsi="Times New Roman"/>
          <w:b/>
          <w:bCs/>
          <w:sz w:val="28"/>
          <w:szCs w:val="28"/>
          <w:lang w:val="uk-UA" w:eastAsia="ru-RU"/>
        </w:rPr>
        <w:t xml:space="preserve">Тема </w:t>
      </w:r>
      <w:r w:rsidR="003F2AEF" w:rsidRPr="00856EF4">
        <w:rPr>
          <w:rFonts w:ascii="Times New Roman" w:eastAsia="Times New Roman" w:hAnsi="Times New Roman"/>
          <w:b/>
          <w:bCs/>
          <w:sz w:val="28"/>
          <w:szCs w:val="28"/>
          <w:lang w:val="uk-UA" w:eastAsia="ru-RU"/>
        </w:rPr>
        <w:t>8</w:t>
      </w:r>
      <w:r w:rsidRPr="00856EF4">
        <w:rPr>
          <w:rFonts w:ascii="Times New Roman" w:eastAsia="Times New Roman" w:hAnsi="Times New Roman"/>
          <w:b/>
          <w:bCs/>
          <w:sz w:val="28"/>
          <w:szCs w:val="28"/>
          <w:lang w:val="uk-UA" w:eastAsia="ru-RU"/>
        </w:rPr>
        <w:t xml:space="preserve"> </w:t>
      </w:r>
      <w:r w:rsidR="003F2AEF" w:rsidRPr="003F2AEF">
        <w:rPr>
          <w:rFonts w:ascii="Times New Roman" w:hAnsi="Times New Roman"/>
          <w:b/>
          <w:bCs/>
          <w:sz w:val="28"/>
          <w:szCs w:val="28"/>
          <w:lang w:val="uk-UA"/>
        </w:rPr>
        <w:t>Порівняльний (ринковий) підхід до оцінки нерухомості</w:t>
      </w:r>
    </w:p>
    <w:p w:rsidR="003F2AEF" w:rsidRDefault="003F2AEF" w:rsidP="003F2AEF">
      <w:pPr>
        <w:widowControl w:val="0"/>
        <w:autoSpaceDE w:val="0"/>
        <w:autoSpaceDN w:val="0"/>
        <w:adjustRightInd w:val="0"/>
        <w:spacing w:after="0"/>
        <w:ind w:firstLine="709"/>
        <w:rPr>
          <w:rFonts w:ascii="Times New Roman" w:eastAsia="Times New Roman" w:hAnsi="Times New Roman"/>
          <w:b/>
          <w:bCs/>
          <w:sz w:val="24"/>
          <w:szCs w:val="24"/>
          <w:u w:val="single"/>
          <w:lang w:val="uk-UA" w:eastAsia="ru-RU"/>
        </w:rPr>
      </w:pPr>
    </w:p>
    <w:p w:rsidR="003F2AEF" w:rsidRPr="003F2AEF" w:rsidRDefault="003F2AEF" w:rsidP="003F2AEF">
      <w:pPr>
        <w:widowControl w:val="0"/>
        <w:tabs>
          <w:tab w:val="left" w:pos="720"/>
        </w:tabs>
        <w:autoSpaceDE w:val="0"/>
        <w:autoSpaceDN w:val="0"/>
        <w:adjustRightInd w:val="0"/>
        <w:spacing w:after="0"/>
        <w:rPr>
          <w:rFonts w:ascii="Times New Roman" w:eastAsia="Times New Roman" w:hAnsi="Times New Roman"/>
          <w:sz w:val="24"/>
          <w:szCs w:val="24"/>
          <w:lang w:val="uk-UA" w:eastAsia="ru-RU"/>
        </w:rPr>
      </w:pPr>
      <w:r w:rsidRPr="003F2AEF">
        <w:rPr>
          <w:rFonts w:ascii="Times New Roman" w:eastAsia="Times New Roman" w:hAnsi="Times New Roman"/>
          <w:b/>
          <w:bCs/>
          <w:sz w:val="24"/>
          <w:szCs w:val="24"/>
          <w:lang w:val="uk-UA" w:eastAsia="ru-RU"/>
        </w:rPr>
        <w:t>1. Загальні положення порівняльного підходу</w:t>
      </w:r>
      <w:r>
        <w:rPr>
          <w:rFonts w:ascii="Times New Roman" w:eastAsia="Times New Roman" w:hAnsi="Times New Roman"/>
          <w:b/>
          <w:bCs/>
          <w:sz w:val="24"/>
          <w:szCs w:val="24"/>
          <w:lang w:val="uk-UA" w:eastAsia="ru-RU"/>
        </w:rPr>
        <w:t>.</w:t>
      </w:r>
    </w:p>
    <w:p w:rsidR="003F2AEF" w:rsidRPr="003F2AEF" w:rsidRDefault="003F2AEF" w:rsidP="003F2AEF">
      <w:pPr>
        <w:widowControl w:val="0"/>
        <w:autoSpaceDE w:val="0"/>
        <w:autoSpaceDN w:val="0"/>
        <w:adjustRightInd w:val="0"/>
        <w:spacing w:after="0"/>
        <w:rPr>
          <w:rFonts w:ascii="Times New Roman" w:eastAsia="Times New Roman" w:hAnsi="Times New Roman"/>
          <w:b/>
          <w:bCs/>
          <w:sz w:val="24"/>
          <w:szCs w:val="24"/>
          <w:lang w:val="uk-UA" w:eastAsia="ru-RU"/>
        </w:rPr>
      </w:pPr>
      <w:r w:rsidRPr="003F2AEF">
        <w:rPr>
          <w:rFonts w:ascii="Times New Roman" w:eastAsia="Times New Roman" w:hAnsi="Times New Roman"/>
          <w:b/>
          <w:bCs/>
          <w:sz w:val="24"/>
          <w:szCs w:val="24"/>
          <w:lang w:val="uk-UA" w:eastAsia="ru-RU"/>
        </w:rPr>
        <w:t>2. Основні етапи порівняльного підходу</w:t>
      </w:r>
      <w:r>
        <w:rPr>
          <w:rFonts w:ascii="Times New Roman" w:eastAsia="Times New Roman" w:hAnsi="Times New Roman"/>
          <w:b/>
          <w:bCs/>
          <w:sz w:val="24"/>
          <w:szCs w:val="24"/>
          <w:lang w:val="uk-UA" w:eastAsia="ru-RU"/>
        </w:rPr>
        <w:t>.</w:t>
      </w:r>
    </w:p>
    <w:p w:rsidR="003F2AEF" w:rsidRPr="003F2AEF" w:rsidRDefault="003F2AEF" w:rsidP="003F2AEF">
      <w:pPr>
        <w:widowControl w:val="0"/>
        <w:autoSpaceDE w:val="0"/>
        <w:autoSpaceDN w:val="0"/>
        <w:adjustRightInd w:val="0"/>
        <w:spacing w:after="0"/>
        <w:rPr>
          <w:rFonts w:ascii="Times New Roman" w:eastAsia="Times New Roman" w:hAnsi="Times New Roman"/>
          <w:b/>
          <w:bCs/>
          <w:sz w:val="24"/>
          <w:szCs w:val="24"/>
          <w:lang w:val="uk-UA" w:eastAsia="ru-RU"/>
        </w:rPr>
      </w:pPr>
      <w:r w:rsidRPr="003F2AEF">
        <w:rPr>
          <w:rFonts w:ascii="Times New Roman" w:eastAsia="Times New Roman" w:hAnsi="Times New Roman"/>
          <w:b/>
          <w:bCs/>
          <w:sz w:val="24"/>
          <w:szCs w:val="24"/>
          <w:lang w:val="uk-UA" w:eastAsia="ru-RU"/>
        </w:rPr>
        <w:t>3. Вибір одиниць і елементів порівняння</w:t>
      </w:r>
      <w:r>
        <w:rPr>
          <w:rFonts w:ascii="Times New Roman" w:eastAsia="Times New Roman" w:hAnsi="Times New Roman"/>
          <w:b/>
          <w:bCs/>
          <w:sz w:val="24"/>
          <w:szCs w:val="24"/>
          <w:lang w:val="uk-UA" w:eastAsia="ru-RU"/>
        </w:rPr>
        <w:t>.</w:t>
      </w:r>
    </w:p>
    <w:p w:rsidR="003F2AEF" w:rsidRDefault="003F2AEF" w:rsidP="003F2AEF">
      <w:pPr>
        <w:widowControl w:val="0"/>
        <w:autoSpaceDE w:val="0"/>
        <w:autoSpaceDN w:val="0"/>
        <w:adjustRightInd w:val="0"/>
        <w:spacing w:after="0"/>
        <w:rPr>
          <w:rFonts w:ascii="Times New Roman" w:eastAsia="Times New Roman" w:hAnsi="Times New Roman"/>
          <w:b/>
          <w:bCs/>
          <w:sz w:val="24"/>
          <w:szCs w:val="24"/>
          <w:lang w:val="uk-UA" w:eastAsia="ru-RU"/>
        </w:rPr>
      </w:pPr>
      <w:r w:rsidRPr="003F2AEF">
        <w:rPr>
          <w:rFonts w:ascii="Times New Roman" w:eastAsia="Times New Roman" w:hAnsi="Times New Roman"/>
          <w:b/>
          <w:bCs/>
          <w:sz w:val="24"/>
          <w:szCs w:val="24"/>
          <w:lang w:val="uk-UA" w:eastAsia="ru-RU"/>
        </w:rPr>
        <w:t>4. Класифікація і методи виконання коригувань</w:t>
      </w:r>
      <w:r>
        <w:rPr>
          <w:rFonts w:ascii="Times New Roman" w:eastAsia="Times New Roman" w:hAnsi="Times New Roman"/>
          <w:b/>
          <w:bCs/>
          <w:sz w:val="24"/>
          <w:szCs w:val="24"/>
          <w:lang w:val="uk-UA" w:eastAsia="ru-RU"/>
        </w:rPr>
        <w:t>.</w:t>
      </w:r>
    </w:p>
    <w:p w:rsidR="003F2AEF" w:rsidRDefault="00856EF4" w:rsidP="00856EF4">
      <w:pPr>
        <w:widowControl w:val="0"/>
        <w:autoSpaceDE w:val="0"/>
        <w:autoSpaceDN w:val="0"/>
        <w:adjustRightInd w:val="0"/>
        <w:spacing w:after="0"/>
        <w:rPr>
          <w:rFonts w:ascii="Times New Roman" w:eastAsia="Times New Roman" w:hAnsi="Times New Roman"/>
          <w:b/>
          <w:bCs/>
          <w:iCs/>
          <w:sz w:val="24"/>
          <w:szCs w:val="24"/>
          <w:lang w:val="uk-UA" w:eastAsia="ru-RU"/>
        </w:rPr>
      </w:pPr>
      <w:r w:rsidRPr="003F2AEF">
        <w:rPr>
          <w:rFonts w:ascii="Times New Roman" w:eastAsia="Times New Roman" w:hAnsi="Times New Roman"/>
          <w:b/>
          <w:bCs/>
          <w:sz w:val="24"/>
          <w:szCs w:val="24"/>
          <w:lang w:val="uk-UA" w:eastAsia="ru-RU"/>
        </w:rPr>
        <w:t xml:space="preserve">5. </w:t>
      </w:r>
      <w:r w:rsidRPr="003F2AEF">
        <w:rPr>
          <w:rFonts w:ascii="Times New Roman" w:eastAsia="Times New Roman" w:hAnsi="Times New Roman"/>
          <w:b/>
          <w:bCs/>
          <w:iCs/>
          <w:sz w:val="24"/>
          <w:szCs w:val="24"/>
          <w:lang w:val="uk-UA" w:eastAsia="ru-RU"/>
        </w:rPr>
        <w:t>Правила внесення коригувань</w:t>
      </w:r>
      <w:r w:rsidRPr="00856EF4">
        <w:rPr>
          <w:rFonts w:ascii="Times New Roman" w:eastAsia="Times New Roman" w:hAnsi="Times New Roman"/>
          <w:b/>
          <w:bCs/>
          <w:iCs/>
          <w:sz w:val="24"/>
          <w:szCs w:val="24"/>
          <w:lang w:val="uk-UA" w:eastAsia="ru-RU"/>
        </w:rPr>
        <w:t xml:space="preserve"> та узгодження скоригованих цін</w:t>
      </w:r>
      <w:r>
        <w:rPr>
          <w:rFonts w:ascii="Times New Roman" w:eastAsia="Times New Roman" w:hAnsi="Times New Roman"/>
          <w:b/>
          <w:bCs/>
          <w:iCs/>
          <w:sz w:val="24"/>
          <w:szCs w:val="24"/>
          <w:lang w:val="uk-UA" w:eastAsia="ru-RU"/>
        </w:rPr>
        <w:t>.</w:t>
      </w:r>
    </w:p>
    <w:bookmarkEnd w:id="0"/>
    <w:p w:rsidR="00856EF4" w:rsidRPr="003F2AEF" w:rsidRDefault="00856EF4" w:rsidP="00856EF4">
      <w:pPr>
        <w:widowControl w:val="0"/>
        <w:autoSpaceDE w:val="0"/>
        <w:autoSpaceDN w:val="0"/>
        <w:adjustRightInd w:val="0"/>
        <w:spacing w:after="0"/>
        <w:rPr>
          <w:rFonts w:ascii="Times New Roman" w:eastAsia="Times New Roman" w:hAnsi="Times New Roman"/>
          <w:b/>
          <w:bCs/>
          <w:sz w:val="24"/>
          <w:szCs w:val="24"/>
          <w:lang w:val="uk-UA" w:eastAsia="ru-RU"/>
        </w:rPr>
      </w:pPr>
    </w:p>
    <w:p w:rsidR="003F2AEF" w:rsidRPr="003F2AEF" w:rsidRDefault="003F2AEF" w:rsidP="003F2AEF">
      <w:pPr>
        <w:widowControl w:val="0"/>
        <w:autoSpaceDE w:val="0"/>
        <w:autoSpaceDN w:val="0"/>
        <w:adjustRightInd w:val="0"/>
        <w:spacing w:after="0"/>
        <w:ind w:firstLine="709"/>
        <w:jc w:val="center"/>
        <w:rPr>
          <w:rFonts w:ascii="Times New Roman" w:eastAsia="Times New Roman" w:hAnsi="Times New Roman"/>
          <w:b/>
          <w:bCs/>
          <w:sz w:val="24"/>
          <w:szCs w:val="24"/>
          <w:lang w:val="uk-UA" w:eastAsia="ru-RU"/>
        </w:rPr>
      </w:pPr>
      <w:r w:rsidRPr="003F2AEF">
        <w:rPr>
          <w:rFonts w:ascii="Times New Roman" w:eastAsia="Times New Roman" w:hAnsi="Times New Roman"/>
          <w:b/>
          <w:bCs/>
          <w:sz w:val="24"/>
          <w:szCs w:val="24"/>
          <w:lang w:val="uk-UA" w:eastAsia="ru-RU"/>
        </w:rPr>
        <w:t>1. Загальні положення порівняльного підходу</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sz w:val="24"/>
          <w:szCs w:val="24"/>
          <w:u w:val="single"/>
          <w:lang w:val="uk-UA" w:eastAsia="ru-RU"/>
        </w:rPr>
        <w:t>Порівняльний підхід</w:t>
      </w:r>
      <w:r w:rsidRPr="003F2AEF">
        <w:rPr>
          <w:rFonts w:ascii="Times New Roman" w:eastAsia="Times New Roman" w:hAnsi="Times New Roman"/>
          <w:sz w:val="24"/>
          <w:szCs w:val="24"/>
          <w:lang w:val="uk-UA" w:eastAsia="ru-RU"/>
        </w:rPr>
        <w:t xml:space="preserve"> - це сукупність методів оцінки вартості, заснованих на порівнянні об'єктів оцінки з його аналогами, щодо яких є інформація про ціни угод з ними.</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Вихідною передумовою застосування порівняльного підходу до оцінки нерухомості є наявність розвиненого ринку нерухомості.</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Порівняльний підхід базується на трьох основних принципах оцінки нерухомості:</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1 принцип попиту і пропозиції;</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2 принцип заміщення (</w:t>
      </w:r>
      <w:r w:rsidRPr="003F2AEF">
        <w:rPr>
          <w:rFonts w:ascii="Times New Roman" w:eastAsia="Times New Roman" w:hAnsi="Times New Roman"/>
          <w:i/>
          <w:sz w:val="24"/>
          <w:szCs w:val="24"/>
          <w:lang w:val="uk-UA" w:eastAsia="ru-RU"/>
        </w:rPr>
        <w:t>це головний принцип</w:t>
      </w:r>
      <w:r w:rsidRPr="003F2AEF">
        <w:rPr>
          <w:rFonts w:ascii="Times New Roman" w:eastAsia="Times New Roman" w:hAnsi="Times New Roman"/>
          <w:sz w:val="24"/>
          <w:szCs w:val="24"/>
          <w:lang w:val="uk-UA" w:eastAsia="ru-RU"/>
        </w:rPr>
        <w:t>);</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3 принцип вкладу.</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Основоположним є </w:t>
      </w:r>
      <w:r w:rsidRPr="003F2AEF">
        <w:rPr>
          <w:rFonts w:ascii="Times New Roman" w:eastAsia="Times New Roman" w:hAnsi="Times New Roman"/>
          <w:i/>
          <w:sz w:val="24"/>
          <w:szCs w:val="24"/>
          <w:lang w:val="uk-UA" w:eastAsia="ru-RU"/>
        </w:rPr>
        <w:t>принцип заміщення</w:t>
      </w:r>
      <w:r w:rsidRPr="003F2AEF">
        <w:rPr>
          <w:rFonts w:ascii="Times New Roman" w:eastAsia="Times New Roman" w:hAnsi="Times New Roman"/>
          <w:sz w:val="24"/>
          <w:szCs w:val="24"/>
          <w:lang w:val="uk-UA" w:eastAsia="ru-RU"/>
        </w:rPr>
        <w:t>, який говорить, що при наявності на ринку декількох схожих об'єктів, раціональний інвестор не заплатить більше тієї суми, в яку обійдеться придбання нерухомості аналогічної корисності.</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Для отримання більш точного результату оцінки потрібен ретельний підбір аналогів. Основні </w:t>
      </w:r>
      <w:r w:rsidRPr="003F2AEF">
        <w:rPr>
          <w:rFonts w:ascii="Times New Roman" w:eastAsia="Times New Roman" w:hAnsi="Times New Roman"/>
          <w:i/>
          <w:sz w:val="24"/>
          <w:szCs w:val="24"/>
          <w:lang w:val="uk-UA" w:eastAsia="ru-RU"/>
        </w:rPr>
        <w:t>вимоги</w:t>
      </w:r>
      <w:r w:rsidRPr="003F2AEF">
        <w:rPr>
          <w:rFonts w:ascii="Times New Roman" w:eastAsia="Times New Roman" w:hAnsi="Times New Roman"/>
          <w:sz w:val="24"/>
          <w:szCs w:val="24"/>
          <w:lang w:val="uk-UA" w:eastAsia="ru-RU"/>
        </w:rPr>
        <w:t xml:space="preserve"> до аналогу об'єкта оцінки наступні:</w:t>
      </w:r>
    </w:p>
    <w:p w:rsidR="003F2AEF" w:rsidRPr="003F2AEF" w:rsidRDefault="003F2AEF" w:rsidP="003F2AEF">
      <w:pPr>
        <w:pStyle w:val="a3"/>
        <w:widowControl w:val="0"/>
        <w:numPr>
          <w:ilvl w:val="0"/>
          <w:numId w:val="34"/>
        </w:numPr>
        <w:tabs>
          <w:tab w:val="left" w:pos="720"/>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Аналог схожий на об'єкт оцінки за основними економічними, матеріальним, технічним і іншим характеристикам;</w:t>
      </w:r>
    </w:p>
    <w:p w:rsidR="003F2AEF" w:rsidRPr="003F2AEF" w:rsidRDefault="003F2AEF" w:rsidP="003F2AEF">
      <w:pPr>
        <w:pStyle w:val="a3"/>
        <w:widowControl w:val="0"/>
        <w:numPr>
          <w:ilvl w:val="0"/>
          <w:numId w:val="34"/>
        </w:numPr>
        <w:tabs>
          <w:tab w:val="left" w:pos="720"/>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Ціна аналога об'єкта оцінки відома з угоди, що відбулася за схожих умов</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Основні умови застосування порівняльного підходу</w:t>
      </w:r>
      <w:r w:rsidRPr="003F2AEF">
        <w:rPr>
          <w:rFonts w:ascii="Times New Roman" w:eastAsia="Times New Roman" w:hAnsi="Times New Roman"/>
          <w:sz w:val="24"/>
          <w:szCs w:val="24"/>
          <w:lang w:val="uk-UA" w:eastAsia="ru-RU"/>
        </w:rPr>
        <w:t>:</w:t>
      </w:r>
    </w:p>
    <w:p w:rsidR="003F2AEF" w:rsidRPr="003F2AEF" w:rsidRDefault="003F2AEF" w:rsidP="003F2AEF">
      <w:pPr>
        <w:widowControl w:val="0"/>
        <w:numPr>
          <w:ilvl w:val="0"/>
          <w:numId w:val="28"/>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Об'єкт не повинен бути унікальним;</w:t>
      </w:r>
    </w:p>
    <w:p w:rsidR="003F2AEF" w:rsidRPr="003F2AEF" w:rsidRDefault="003F2AEF" w:rsidP="003F2AEF">
      <w:pPr>
        <w:widowControl w:val="0"/>
        <w:numPr>
          <w:ilvl w:val="0"/>
          <w:numId w:val="28"/>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Необхідна наявність порівнянних аналогів;</w:t>
      </w:r>
    </w:p>
    <w:p w:rsidR="003F2AEF" w:rsidRPr="003F2AEF" w:rsidRDefault="003F2AEF" w:rsidP="003F2AEF">
      <w:pPr>
        <w:widowControl w:val="0"/>
        <w:numPr>
          <w:ilvl w:val="0"/>
          <w:numId w:val="28"/>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Інформація повинна бути вичерпною, що включає умови укладання угод;</w:t>
      </w:r>
    </w:p>
    <w:p w:rsidR="003F2AEF" w:rsidRPr="003F2AEF" w:rsidRDefault="003F2AEF" w:rsidP="003F2AEF">
      <w:pPr>
        <w:widowControl w:val="0"/>
        <w:numPr>
          <w:ilvl w:val="0"/>
          <w:numId w:val="28"/>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Фактори, що впливають на вартість порівнюваних аналогів, повинні бути порівнянними.</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 xml:space="preserve">Переваги </w:t>
      </w:r>
      <w:r w:rsidRPr="003F2AEF">
        <w:rPr>
          <w:rFonts w:ascii="Times New Roman" w:eastAsia="Times New Roman" w:hAnsi="Times New Roman"/>
          <w:bCs/>
          <w:iCs/>
          <w:sz w:val="24"/>
          <w:szCs w:val="24"/>
          <w:lang w:val="uk-UA" w:eastAsia="ru-RU"/>
        </w:rPr>
        <w:t>порівняльного підходу</w:t>
      </w:r>
      <w:r w:rsidRPr="003F2AEF">
        <w:rPr>
          <w:rFonts w:ascii="Times New Roman" w:eastAsia="Times New Roman" w:hAnsi="Times New Roman"/>
          <w:sz w:val="24"/>
          <w:szCs w:val="24"/>
          <w:lang w:val="uk-UA" w:eastAsia="ru-RU"/>
        </w:rPr>
        <w:t>:</w:t>
      </w:r>
    </w:p>
    <w:p w:rsidR="003F2AEF" w:rsidRPr="003F2AEF" w:rsidRDefault="003F2AEF" w:rsidP="003F2AEF">
      <w:pPr>
        <w:widowControl w:val="0"/>
        <w:numPr>
          <w:ilvl w:val="0"/>
          <w:numId w:val="32"/>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Дозволяє відобразити думку типових продавців і покупців в підсумковій оцінці;</w:t>
      </w:r>
    </w:p>
    <w:p w:rsidR="003F2AEF" w:rsidRPr="003F2AEF" w:rsidRDefault="003F2AEF" w:rsidP="003F2AEF">
      <w:pPr>
        <w:widowControl w:val="0"/>
        <w:numPr>
          <w:ilvl w:val="0"/>
          <w:numId w:val="32"/>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Статистично обґрунтований;</w:t>
      </w:r>
    </w:p>
    <w:p w:rsidR="003F2AEF" w:rsidRPr="003F2AEF" w:rsidRDefault="003F2AEF" w:rsidP="003F2AEF">
      <w:pPr>
        <w:widowControl w:val="0"/>
        <w:numPr>
          <w:ilvl w:val="0"/>
          <w:numId w:val="32"/>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Дозволяє вносити коригування на відмінності порівнюваних об'єктів;</w:t>
      </w:r>
    </w:p>
    <w:p w:rsidR="003F2AEF" w:rsidRPr="003F2AEF" w:rsidRDefault="003F2AEF" w:rsidP="003F2AEF">
      <w:pPr>
        <w:widowControl w:val="0"/>
        <w:numPr>
          <w:ilvl w:val="0"/>
          <w:numId w:val="32"/>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При наявності достатньої кількості даних для аналізу, простий в застосуванні і дає надійні результати.  </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 xml:space="preserve">Недоліки </w:t>
      </w:r>
      <w:r w:rsidRPr="003F2AEF">
        <w:rPr>
          <w:rFonts w:ascii="Times New Roman" w:eastAsia="Times New Roman" w:hAnsi="Times New Roman"/>
          <w:bCs/>
          <w:iCs/>
          <w:sz w:val="24"/>
          <w:szCs w:val="24"/>
          <w:lang w:val="uk-UA" w:eastAsia="ru-RU"/>
        </w:rPr>
        <w:t>порівняльного підходу</w:t>
      </w:r>
      <w:r w:rsidRPr="003F2AEF">
        <w:rPr>
          <w:rFonts w:ascii="Times New Roman" w:eastAsia="Times New Roman" w:hAnsi="Times New Roman"/>
          <w:sz w:val="24"/>
          <w:szCs w:val="24"/>
          <w:lang w:val="uk-UA" w:eastAsia="ru-RU"/>
        </w:rPr>
        <w:t>:</w:t>
      </w:r>
    </w:p>
    <w:p w:rsidR="003F2AEF" w:rsidRPr="003F2AEF" w:rsidRDefault="003F2AEF" w:rsidP="003F2AEF">
      <w:pPr>
        <w:widowControl w:val="0"/>
        <w:numPr>
          <w:ilvl w:val="1"/>
          <w:numId w:val="33"/>
        </w:numPr>
        <w:tabs>
          <w:tab w:val="left" w:pos="0"/>
        </w:tabs>
        <w:autoSpaceDE w:val="0"/>
        <w:autoSpaceDN w:val="0"/>
        <w:adjustRightInd w:val="0"/>
        <w:spacing w:after="0"/>
        <w:ind w:left="90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Точність результату оцінки найбільш залежна від ринкових даних при розрахунках на основі порівняльного підходу;</w:t>
      </w:r>
    </w:p>
    <w:p w:rsidR="003F2AEF" w:rsidRPr="003F2AEF" w:rsidRDefault="003F2AEF" w:rsidP="003F2AEF">
      <w:pPr>
        <w:widowControl w:val="0"/>
        <w:numPr>
          <w:ilvl w:val="1"/>
          <w:numId w:val="33"/>
        </w:numPr>
        <w:tabs>
          <w:tab w:val="left" w:pos="0"/>
        </w:tabs>
        <w:autoSpaceDE w:val="0"/>
        <w:autoSpaceDN w:val="0"/>
        <w:adjustRightInd w:val="0"/>
        <w:spacing w:after="0"/>
        <w:ind w:left="90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Для правильної оцінки необхідний великий обсяг інформації і логічний аналіз </w:t>
      </w:r>
      <w:r w:rsidRPr="003F2AEF">
        <w:rPr>
          <w:rFonts w:ascii="Times New Roman" w:eastAsia="Times New Roman" w:hAnsi="Times New Roman"/>
          <w:sz w:val="24"/>
          <w:szCs w:val="24"/>
          <w:lang w:val="uk-UA" w:eastAsia="ru-RU"/>
        </w:rPr>
        <w:lastRenderedPageBreak/>
        <w:t>скоригованих даних.</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 xml:space="preserve">Проблеми </w:t>
      </w:r>
      <w:r w:rsidRPr="003F2AEF">
        <w:rPr>
          <w:rFonts w:ascii="Times New Roman" w:eastAsia="Times New Roman" w:hAnsi="Times New Roman"/>
          <w:bCs/>
          <w:iCs/>
          <w:sz w:val="24"/>
          <w:szCs w:val="24"/>
          <w:lang w:val="uk-UA" w:eastAsia="ru-RU"/>
        </w:rPr>
        <w:t>порівняльного підходу</w:t>
      </w:r>
      <w:r w:rsidRPr="003F2AEF">
        <w:rPr>
          <w:rFonts w:ascii="Times New Roman" w:eastAsia="Times New Roman" w:hAnsi="Times New Roman"/>
          <w:sz w:val="24"/>
          <w:szCs w:val="24"/>
          <w:lang w:val="uk-UA" w:eastAsia="ru-RU"/>
        </w:rPr>
        <w:t>:</w:t>
      </w:r>
    </w:p>
    <w:p w:rsidR="003F2AEF" w:rsidRDefault="003F2AEF" w:rsidP="003F2AEF">
      <w:pPr>
        <w:pStyle w:val="a3"/>
        <w:widowControl w:val="0"/>
        <w:numPr>
          <w:ilvl w:val="0"/>
          <w:numId w:val="35"/>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відмінності продажів (по набору фізичних і економічних характеристик і за умовами);</w:t>
      </w:r>
    </w:p>
    <w:p w:rsidR="003F2AEF" w:rsidRDefault="003F2AEF" w:rsidP="003F2AEF">
      <w:pPr>
        <w:pStyle w:val="a3"/>
        <w:widowControl w:val="0"/>
        <w:numPr>
          <w:ilvl w:val="0"/>
          <w:numId w:val="35"/>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складність збору інформації про фактичних цінах продажів;</w:t>
      </w:r>
    </w:p>
    <w:p w:rsidR="003F2AEF" w:rsidRDefault="003F2AEF" w:rsidP="003F2AEF">
      <w:pPr>
        <w:pStyle w:val="a3"/>
        <w:widowControl w:val="0"/>
        <w:numPr>
          <w:ilvl w:val="0"/>
          <w:numId w:val="35"/>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проблемність збору інформації про специфічні умови угоди;</w:t>
      </w:r>
    </w:p>
    <w:p w:rsidR="003F2AEF" w:rsidRDefault="003F2AEF" w:rsidP="003F2AEF">
      <w:pPr>
        <w:pStyle w:val="a3"/>
        <w:widowControl w:val="0"/>
        <w:numPr>
          <w:ilvl w:val="0"/>
          <w:numId w:val="35"/>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залежність від активності ринку;</w:t>
      </w:r>
    </w:p>
    <w:p w:rsidR="003F2AEF" w:rsidRDefault="003F2AEF" w:rsidP="003F2AEF">
      <w:pPr>
        <w:pStyle w:val="a3"/>
        <w:widowControl w:val="0"/>
        <w:numPr>
          <w:ilvl w:val="0"/>
          <w:numId w:val="35"/>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залежність від стабільності ринку;</w:t>
      </w:r>
    </w:p>
    <w:p w:rsidR="003F2AEF" w:rsidRPr="00856EF4" w:rsidRDefault="003F2AEF" w:rsidP="00856EF4">
      <w:pPr>
        <w:pStyle w:val="a3"/>
        <w:widowControl w:val="0"/>
        <w:numPr>
          <w:ilvl w:val="0"/>
          <w:numId w:val="35"/>
        </w:numPr>
        <w:tabs>
          <w:tab w:val="left" w:pos="284"/>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складність узгодження даних про істотно розрізняються продажах</w:t>
      </w:r>
    </w:p>
    <w:p w:rsidR="003F2AEF" w:rsidRPr="003F2AEF" w:rsidRDefault="003F2AEF" w:rsidP="003F2AEF">
      <w:pPr>
        <w:widowControl w:val="0"/>
        <w:tabs>
          <w:tab w:val="left" w:pos="720"/>
        </w:tabs>
        <w:autoSpaceDE w:val="0"/>
        <w:autoSpaceDN w:val="0"/>
        <w:adjustRightInd w:val="0"/>
        <w:spacing w:after="0"/>
        <w:jc w:val="center"/>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jc w:val="center"/>
        <w:rPr>
          <w:rFonts w:ascii="Times New Roman" w:eastAsia="Times New Roman" w:hAnsi="Times New Roman"/>
          <w:b/>
          <w:bCs/>
          <w:sz w:val="24"/>
          <w:szCs w:val="24"/>
          <w:lang w:val="uk-UA" w:eastAsia="ru-RU"/>
        </w:rPr>
      </w:pPr>
      <w:r w:rsidRPr="003F2AEF">
        <w:rPr>
          <w:rFonts w:ascii="Times New Roman" w:eastAsia="Times New Roman" w:hAnsi="Times New Roman"/>
          <w:b/>
          <w:bCs/>
          <w:sz w:val="24"/>
          <w:szCs w:val="24"/>
          <w:lang w:val="uk-UA" w:eastAsia="ru-RU"/>
        </w:rPr>
        <w:t>2. Основні етапи порівняльного підходу</w:t>
      </w:r>
    </w:p>
    <w:p w:rsidR="003F2AEF" w:rsidRPr="003F2AEF" w:rsidRDefault="003F2AEF" w:rsidP="003F2AEF">
      <w:pPr>
        <w:widowControl w:val="0"/>
        <w:autoSpaceDE w:val="0"/>
        <w:autoSpaceDN w:val="0"/>
        <w:adjustRightInd w:val="0"/>
        <w:spacing w:after="0"/>
        <w:ind w:firstLine="709"/>
        <w:jc w:val="center"/>
        <w:rPr>
          <w:rFonts w:ascii="Times New Roman" w:eastAsia="Times New Roman" w:hAnsi="Times New Roman"/>
          <w:sz w:val="24"/>
          <w:szCs w:val="24"/>
          <w:lang w:val="uk-UA" w:eastAsia="ru-RU"/>
        </w:rPr>
      </w:pPr>
      <w:r w:rsidRPr="003F2AEF">
        <w:rPr>
          <w:rFonts w:ascii="Times New Roman" w:eastAsia="Times New Roman" w:hAnsi="Times New Roman"/>
          <w:noProof/>
          <w:sz w:val="24"/>
          <w:szCs w:val="24"/>
          <w:lang w:val="uk-UA" w:eastAsia="ru-RU"/>
        </w:rPr>
        <w:drawing>
          <wp:inline distT="0" distB="0" distL="0" distR="0" wp14:anchorId="658AF1FB" wp14:editId="1E72170F">
            <wp:extent cx="5165725" cy="1694180"/>
            <wp:effectExtent l="0" t="0" r="15875" b="20320"/>
            <wp:docPr id="4"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F2AEF" w:rsidRDefault="003F2AEF" w:rsidP="00856EF4">
      <w:pPr>
        <w:widowControl w:val="0"/>
        <w:autoSpaceDE w:val="0"/>
        <w:autoSpaceDN w:val="0"/>
        <w:adjustRightInd w:val="0"/>
        <w:spacing w:after="0"/>
        <w:ind w:firstLine="709"/>
        <w:jc w:val="center"/>
        <w:rPr>
          <w:rFonts w:ascii="Times New Roman" w:eastAsia="Times New Roman" w:hAnsi="Times New Roman"/>
          <w:b/>
          <w:sz w:val="24"/>
          <w:szCs w:val="24"/>
          <w:lang w:val="uk-UA" w:eastAsia="ru-RU"/>
        </w:rPr>
      </w:pPr>
      <w:r w:rsidRPr="003F2AEF">
        <w:rPr>
          <w:rFonts w:ascii="Times New Roman" w:eastAsia="Times New Roman" w:hAnsi="Times New Roman"/>
          <w:b/>
          <w:sz w:val="24"/>
          <w:szCs w:val="24"/>
          <w:lang w:val="uk-UA" w:eastAsia="ru-RU"/>
        </w:rPr>
        <w:t>Малюнок. Етапи порівняльного підходу</w:t>
      </w:r>
    </w:p>
    <w:p w:rsidR="00856EF4" w:rsidRPr="003F2AEF" w:rsidRDefault="00856EF4" w:rsidP="00856EF4">
      <w:pPr>
        <w:widowControl w:val="0"/>
        <w:autoSpaceDE w:val="0"/>
        <w:autoSpaceDN w:val="0"/>
        <w:adjustRightInd w:val="0"/>
        <w:spacing w:after="0"/>
        <w:ind w:firstLine="709"/>
        <w:jc w:val="center"/>
        <w:rPr>
          <w:rFonts w:ascii="Times New Roman" w:eastAsia="Times New Roman" w:hAnsi="Times New Roman"/>
          <w:b/>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На першому етапі необхідно сегментування ринку, тобто розбивка ринку на сектори, які мають схожі об'єкти та суб'єкти. При цьому подібні об'єкти виділяються за призначенням використання, якості, переданим прав, місцем розташування, фізичними характеристиками.</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Подібні суб'єкти виділяються по платоспроможності, можливостям фінансування та інвестиційної мотивації.</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iCs/>
          <w:sz w:val="24"/>
          <w:szCs w:val="24"/>
          <w:lang w:val="uk-UA" w:eastAsia="ru-RU"/>
        </w:rPr>
      </w:pPr>
      <w:r w:rsidRPr="003F2AEF">
        <w:rPr>
          <w:rFonts w:ascii="Times New Roman" w:eastAsia="Times New Roman" w:hAnsi="Times New Roman"/>
          <w:i/>
          <w:iCs/>
          <w:sz w:val="24"/>
          <w:szCs w:val="24"/>
          <w:lang w:val="uk-UA" w:eastAsia="ru-RU"/>
        </w:rPr>
        <w:t xml:space="preserve">Типовими </w:t>
      </w:r>
      <w:r w:rsidRPr="003F2AEF">
        <w:rPr>
          <w:rFonts w:ascii="Times New Roman" w:eastAsia="Times New Roman" w:hAnsi="Times New Roman"/>
          <w:iCs/>
          <w:sz w:val="24"/>
          <w:szCs w:val="24"/>
          <w:lang w:val="uk-UA" w:eastAsia="ru-RU"/>
        </w:rPr>
        <w:t>для даного сегмента умовами є:</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iCs/>
          <w:sz w:val="24"/>
          <w:szCs w:val="24"/>
          <w:lang w:val="uk-UA" w:eastAsia="ru-RU"/>
        </w:rPr>
      </w:pPr>
      <w:r w:rsidRPr="003F2AEF">
        <w:rPr>
          <w:rFonts w:ascii="Times New Roman" w:eastAsia="Times New Roman" w:hAnsi="Times New Roman"/>
          <w:iCs/>
          <w:sz w:val="24"/>
          <w:szCs w:val="24"/>
          <w:lang w:val="uk-UA" w:eastAsia="ru-RU"/>
        </w:rPr>
        <w:t>- термін експозиції;</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iCs/>
          <w:sz w:val="24"/>
          <w:szCs w:val="24"/>
          <w:lang w:val="uk-UA" w:eastAsia="ru-RU"/>
        </w:rPr>
      </w:pPr>
      <w:r w:rsidRPr="003F2AEF">
        <w:rPr>
          <w:rFonts w:ascii="Times New Roman" w:eastAsia="Times New Roman" w:hAnsi="Times New Roman"/>
          <w:iCs/>
          <w:sz w:val="24"/>
          <w:szCs w:val="24"/>
          <w:lang w:val="uk-UA" w:eastAsia="ru-RU"/>
        </w:rPr>
        <w:t>- незалежність суб'єктів угоди;</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iCs/>
          <w:sz w:val="24"/>
          <w:szCs w:val="24"/>
          <w:lang w:val="uk-UA" w:eastAsia="ru-RU"/>
        </w:rPr>
        <w:t>- інвестиційна мотивація</w:t>
      </w:r>
      <w:r w:rsidRPr="003F2AEF">
        <w:rPr>
          <w:rFonts w:ascii="Times New Roman" w:eastAsia="Times New Roman" w:hAnsi="Times New Roman"/>
          <w:sz w:val="24"/>
          <w:szCs w:val="24"/>
          <w:lang w:val="uk-UA" w:eastAsia="ru-RU"/>
        </w:rPr>
        <w:t>.</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Під </w:t>
      </w:r>
      <w:r w:rsidRPr="003F2AEF">
        <w:rPr>
          <w:rFonts w:ascii="Times New Roman" w:eastAsia="Times New Roman" w:hAnsi="Times New Roman"/>
          <w:i/>
          <w:sz w:val="24"/>
          <w:szCs w:val="24"/>
          <w:lang w:val="uk-UA" w:eastAsia="ru-RU"/>
        </w:rPr>
        <w:t>незалежністю</w:t>
      </w:r>
      <w:r w:rsidRPr="003F2AEF">
        <w:rPr>
          <w:rFonts w:ascii="Times New Roman" w:eastAsia="Times New Roman" w:hAnsi="Times New Roman"/>
          <w:sz w:val="24"/>
          <w:szCs w:val="24"/>
          <w:lang w:val="uk-UA" w:eastAsia="ru-RU"/>
        </w:rPr>
        <w:t xml:space="preserve"> суб'єктів угоди мається на увазі, що угоди укладаються не по ринковій ціні і дані по ним не можуть використовуватися для порівняння, якщо покупець і продавець:</w:t>
      </w:r>
    </w:p>
    <w:p w:rsidR="003F2AEF" w:rsidRPr="003F2AEF" w:rsidRDefault="003F2AEF" w:rsidP="003F2AEF">
      <w:pPr>
        <w:widowControl w:val="0"/>
        <w:numPr>
          <w:ilvl w:val="0"/>
          <w:numId w:val="30"/>
        </w:numPr>
        <w:tabs>
          <w:tab w:val="num" w:pos="-1134"/>
          <w:tab w:val="left" w:pos="284"/>
          <w:tab w:val="left" w:pos="993"/>
        </w:tabs>
        <w:autoSpaceDE w:val="0"/>
        <w:autoSpaceDN w:val="0"/>
        <w:adjustRightInd w:val="0"/>
        <w:spacing w:after="0"/>
        <w:ind w:hanging="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перебувають в родинних стосунках;</w:t>
      </w:r>
    </w:p>
    <w:p w:rsidR="003F2AEF" w:rsidRPr="003F2AEF" w:rsidRDefault="003F2AEF" w:rsidP="003F2AEF">
      <w:pPr>
        <w:widowControl w:val="0"/>
        <w:numPr>
          <w:ilvl w:val="0"/>
          <w:numId w:val="30"/>
        </w:numPr>
        <w:tabs>
          <w:tab w:val="num" w:pos="-1134"/>
          <w:tab w:val="left" w:pos="284"/>
          <w:tab w:val="left" w:pos="993"/>
        </w:tabs>
        <w:autoSpaceDE w:val="0"/>
        <w:autoSpaceDN w:val="0"/>
        <w:adjustRightInd w:val="0"/>
        <w:spacing w:after="0"/>
        <w:ind w:hanging="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є представниками холдингу або дочірньої компанії;</w:t>
      </w:r>
    </w:p>
    <w:p w:rsidR="003F2AEF" w:rsidRPr="003F2AEF" w:rsidRDefault="003F2AEF" w:rsidP="003F2AEF">
      <w:pPr>
        <w:widowControl w:val="0"/>
        <w:numPr>
          <w:ilvl w:val="0"/>
          <w:numId w:val="30"/>
        </w:numPr>
        <w:tabs>
          <w:tab w:val="num" w:pos="-1134"/>
          <w:tab w:val="left" w:pos="284"/>
          <w:tab w:val="left" w:pos="993"/>
        </w:tabs>
        <w:autoSpaceDE w:val="0"/>
        <w:autoSpaceDN w:val="0"/>
        <w:adjustRightInd w:val="0"/>
        <w:spacing w:after="0"/>
        <w:ind w:hanging="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мають іншу взаємозв'язок і </w:t>
      </w:r>
      <w:proofErr w:type="spellStart"/>
      <w:r w:rsidRPr="003F2AEF">
        <w:rPr>
          <w:rFonts w:ascii="Times New Roman" w:eastAsia="Times New Roman" w:hAnsi="Times New Roman"/>
          <w:sz w:val="24"/>
          <w:szCs w:val="24"/>
          <w:lang w:val="uk-UA" w:eastAsia="ru-RU"/>
        </w:rPr>
        <w:t>взаємозацікавленості</w:t>
      </w:r>
      <w:proofErr w:type="spellEnd"/>
      <w:r w:rsidRPr="003F2AEF">
        <w:rPr>
          <w:rFonts w:ascii="Times New Roman" w:eastAsia="Times New Roman" w:hAnsi="Times New Roman"/>
          <w:sz w:val="24"/>
          <w:szCs w:val="24"/>
          <w:lang w:val="uk-UA" w:eastAsia="ru-RU"/>
        </w:rPr>
        <w:t>;</w:t>
      </w:r>
    </w:p>
    <w:p w:rsidR="003F2AEF" w:rsidRPr="003F2AEF" w:rsidRDefault="003F2AEF" w:rsidP="003F2AEF">
      <w:pPr>
        <w:widowControl w:val="0"/>
        <w:numPr>
          <w:ilvl w:val="0"/>
          <w:numId w:val="30"/>
        </w:numPr>
        <w:tabs>
          <w:tab w:val="num" w:pos="-1134"/>
          <w:tab w:val="left" w:pos="284"/>
          <w:tab w:val="left" w:pos="993"/>
        </w:tabs>
        <w:autoSpaceDE w:val="0"/>
        <w:autoSpaceDN w:val="0"/>
        <w:adjustRightInd w:val="0"/>
        <w:spacing w:after="0"/>
        <w:ind w:hanging="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угоди, що здійснюються з об'єктами, обтяженими заставою або іншими зобов'язаннями;</w:t>
      </w:r>
    </w:p>
    <w:p w:rsidR="003F2AEF" w:rsidRPr="003F2AEF" w:rsidRDefault="003F2AEF" w:rsidP="003F2AEF">
      <w:pPr>
        <w:widowControl w:val="0"/>
        <w:numPr>
          <w:ilvl w:val="0"/>
          <w:numId w:val="30"/>
        </w:numPr>
        <w:tabs>
          <w:tab w:val="num" w:pos="-1134"/>
          <w:tab w:val="left" w:pos="284"/>
          <w:tab w:val="left" w:pos="993"/>
        </w:tabs>
        <w:autoSpaceDE w:val="0"/>
        <w:autoSpaceDN w:val="0"/>
        <w:adjustRightInd w:val="0"/>
        <w:spacing w:after="0"/>
        <w:ind w:hanging="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займається </w:t>
      </w:r>
      <w:proofErr w:type="spellStart"/>
      <w:r w:rsidRPr="003F2AEF">
        <w:rPr>
          <w:rFonts w:ascii="Times New Roman" w:eastAsia="Times New Roman" w:hAnsi="Times New Roman"/>
          <w:sz w:val="24"/>
          <w:szCs w:val="24"/>
          <w:lang w:val="uk-UA" w:eastAsia="ru-RU"/>
        </w:rPr>
        <w:t>продажем</w:t>
      </w:r>
      <w:proofErr w:type="spellEnd"/>
      <w:r w:rsidRPr="003F2AEF">
        <w:rPr>
          <w:rFonts w:ascii="Times New Roman" w:eastAsia="Times New Roman" w:hAnsi="Times New Roman"/>
          <w:sz w:val="24"/>
          <w:szCs w:val="24"/>
          <w:lang w:val="uk-UA" w:eastAsia="ru-RU"/>
        </w:rPr>
        <w:t xml:space="preserve"> майна померлих осіб.</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3F2AEF">
        <w:rPr>
          <w:rFonts w:ascii="Times New Roman" w:eastAsia="Times New Roman" w:hAnsi="Times New Roman"/>
          <w:b/>
          <w:bCs/>
          <w:i/>
          <w:iCs/>
          <w:sz w:val="24"/>
          <w:szCs w:val="24"/>
          <w:lang w:val="uk-UA" w:eastAsia="ru-RU"/>
        </w:rPr>
        <w:t xml:space="preserve">Інвестиційна мотивація </w:t>
      </w:r>
      <w:r w:rsidRPr="003F2AEF">
        <w:rPr>
          <w:rFonts w:ascii="Times New Roman" w:eastAsia="Times New Roman" w:hAnsi="Times New Roman"/>
          <w:bCs/>
          <w:iCs/>
          <w:sz w:val="24"/>
          <w:szCs w:val="24"/>
          <w:lang w:val="uk-UA" w:eastAsia="ru-RU"/>
        </w:rPr>
        <w:t>визначається аналогічними мотивами інвесторів, аналогічним найкращим і найбільш ефективним використанням об'єктів і ступенем зносу будівлі</w:t>
      </w:r>
      <w:r w:rsidRPr="003F2AEF">
        <w:rPr>
          <w:rFonts w:ascii="Times New Roman" w:eastAsia="Times New Roman" w:hAnsi="Times New Roman"/>
          <w:sz w:val="24"/>
          <w:szCs w:val="24"/>
          <w:lang w:val="uk-UA" w:eastAsia="ru-RU"/>
        </w:rPr>
        <w:t>.</w:t>
      </w:r>
    </w:p>
    <w:p w:rsidR="003F2AEF" w:rsidRPr="003F2AEF" w:rsidRDefault="003F2AEF" w:rsidP="003F2AEF">
      <w:pPr>
        <w:widowControl w:val="0"/>
        <w:autoSpaceDE w:val="0"/>
        <w:autoSpaceDN w:val="0"/>
        <w:adjustRightInd w:val="0"/>
        <w:spacing w:after="0"/>
        <w:ind w:firstLine="709"/>
        <w:jc w:val="center"/>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ind w:firstLine="709"/>
        <w:jc w:val="center"/>
        <w:rPr>
          <w:rFonts w:ascii="Times New Roman" w:eastAsia="Times New Roman" w:hAnsi="Times New Roman"/>
          <w:b/>
          <w:bCs/>
          <w:sz w:val="24"/>
          <w:szCs w:val="24"/>
          <w:u w:val="single"/>
          <w:lang w:val="uk-UA" w:eastAsia="ru-RU"/>
        </w:rPr>
      </w:pPr>
      <w:r w:rsidRPr="003F2AEF">
        <w:rPr>
          <w:rFonts w:ascii="Times New Roman" w:eastAsia="Times New Roman" w:hAnsi="Times New Roman"/>
          <w:b/>
          <w:bCs/>
          <w:sz w:val="24"/>
          <w:szCs w:val="24"/>
          <w:lang w:val="uk-UA" w:eastAsia="ru-RU"/>
        </w:rPr>
        <w:t>3. Вибір одиниць і елементів порівняння</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На різних сегментах ринку нерухомості використовуються різні одиниці порівняння. Як правило, приймаються наступні одиниці порівняння землі:</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ціна землі за один гектар (як правило с / г землі);</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ціна за сотку (масиви під житлове будівництво);</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ціна за </w:t>
      </w:r>
      <w:smartTag w:uri="urn:schemas-microsoft-com:office:smarttags" w:element="metricconverter">
        <w:smartTagPr>
          <w:attr w:name="ProductID" w:val="1 м2"/>
        </w:smartTagPr>
        <w:r w:rsidRPr="003F2AEF">
          <w:rPr>
            <w:rFonts w:ascii="Times New Roman" w:eastAsia="Times New Roman" w:hAnsi="Times New Roman"/>
            <w:sz w:val="24"/>
            <w:szCs w:val="24"/>
            <w:lang w:val="uk-UA" w:eastAsia="ru-RU"/>
          </w:rPr>
          <w:t>1 м2</w:t>
        </w:r>
      </w:smartTag>
      <w:r w:rsidRPr="003F2AEF">
        <w:rPr>
          <w:rFonts w:ascii="Times New Roman" w:eastAsia="Times New Roman" w:hAnsi="Times New Roman"/>
          <w:sz w:val="24"/>
          <w:szCs w:val="24"/>
          <w:lang w:val="uk-UA" w:eastAsia="ru-RU"/>
        </w:rPr>
        <w:t>.</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Одиниці забудованих ділянок:</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ціна за </w:t>
      </w:r>
      <w:smartTag w:uri="urn:schemas-microsoft-com:office:smarttags" w:element="metricconverter">
        <w:smartTagPr>
          <w:attr w:name="ProductID" w:val="1 м2"/>
        </w:smartTagPr>
        <w:r w:rsidRPr="003F2AEF">
          <w:rPr>
            <w:rFonts w:ascii="Times New Roman" w:eastAsia="Times New Roman" w:hAnsi="Times New Roman"/>
            <w:sz w:val="24"/>
            <w:szCs w:val="24"/>
            <w:lang w:val="uk-UA" w:eastAsia="ru-RU"/>
          </w:rPr>
          <w:t>1 м2</w:t>
        </w:r>
      </w:smartTag>
      <w:r w:rsidRPr="003F2AEF">
        <w:rPr>
          <w:rFonts w:ascii="Times New Roman" w:eastAsia="Times New Roman" w:hAnsi="Times New Roman"/>
          <w:sz w:val="24"/>
          <w:szCs w:val="24"/>
          <w:lang w:val="uk-UA" w:eastAsia="ru-RU"/>
        </w:rPr>
        <w:t xml:space="preserve"> площі;</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ціна за </w:t>
      </w:r>
      <w:smartTag w:uri="urn:schemas-microsoft-com:office:smarttags" w:element="metricconverter">
        <w:smartTagPr>
          <w:attr w:name="ProductID" w:val="1 м2"/>
        </w:smartTagPr>
        <w:r w:rsidRPr="003F2AEF">
          <w:rPr>
            <w:rFonts w:ascii="Times New Roman" w:eastAsia="Times New Roman" w:hAnsi="Times New Roman"/>
            <w:sz w:val="24"/>
            <w:szCs w:val="24"/>
            <w:lang w:val="uk-UA" w:eastAsia="ru-RU"/>
          </w:rPr>
          <w:t>1 м2</w:t>
        </w:r>
      </w:smartTag>
      <w:r w:rsidRPr="003F2AEF">
        <w:rPr>
          <w:rFonts w:ascii="Times New Roman" w:eastAsia="Times New Roman" w:hAnsi="Times New Roman"/>
          <w:sz w:val="24"/>
          <w:szCs w:val="24"/>
          <w:lang w:val="uk-UA" w:eastAsia="ru-RU"/>
        </w:rPr>
        <w:t xml:space="preserve"> чистої площі, яка підлягає здачі в оренду;</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ціна за </w:t>
      </w:r>
      <w:smartTag w:uri="urn:schemas-microsoft-com:office:smarttags" w:element="metricconverter">
        <w:smartTagPr>
          <w:attr w:name="ProductID" w:val="1 м2"/>
        </w:smartTagPr>
        <w:r w:rsidRPr="003F2AEF">
          <w:rPr>
            <w:rFonts w:ascii="Times New Roman" w:eastAsia="Times New Roman" w:hAnsi="Times New Roman"/>
            <w:sz w:val="24"/>
            <w:szCs w:val="24"/>
            <w:lang w:val="uk-UA" w:eastAsia="ru-RU"/>
          </w:rPr>
          <w:t>1 м2</w:t>
        </w:r>
      </w:smartTag>
      <w:r w:rsidRPr="003F2AEF">
        <w:rPr>
          <w:rFonts w:ascii="Times New Roman" w:eastAsia="Times New Roman" w:hAnsi="Times New Roman"/>
          <w:sz w:val="24"/>
          <w:szCs w:val="24"/>
          <w:lang w:val="uk-UA" w:eastAsia="ru-RU"/>
        </w:rPr>
        <w:t xml:space="preserve"> загальної площі;</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ціна за </w:t>
      </w:r>
      <w:smartTag w:uri="urn:schemas-microsoft-com:office:smarttags" w:element="metricconverter">
        <w:smartTagPr>
          <w:attr w:name="ProductID" w:val="1 м3"/>
        </w:smartTagPr>
        <w:r w:rsidRPr="003F2AEF">
          <w:rPr>
            <w:rFonts w:ascii="Times New Roman" w:eastAsia="Times New Roman" w:hAnsi="Times New Roman"/>
            <w:sz w:val="24"/>
            <w:szCs w:val="24"/>
            <w:lang w:val="uk-UA" w:eastAsia="ru-RU"/>
          </w:rPr>
          <w:t>1 м3</w:t>
        </w:r>
      </w:smartTag>
      <w:r w:rsidRPr="003F2AEF">
        <w:rPr>
          <w:rFonts w:ascii="Times New Roman" w:eastAsia="Times New Roman" w:hAnsi="Times New Roman"/>
          <w:sz w:val="24"/>
          <w:szCs w:val="24"/>
          <w:lang w:val="uk-UA" w:eastAsia="ru-RU"/>
        </w:rPr>
        <w:t>.</w:t>
      </w:r>
    </w:p>
    <w:p w:rsidR="003F2AEF" w:rsidRPr="003F2AEF" w:rsidRDefault="003F2AEF" w:rsidP="003F2AEF">
      <w:pPr>
        <w:widowControl w:val="0"/>
        <w:tabs>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p>
    <w:p w:rsidR="003F2AEF" w:rsidRPr="003F2AEF" w:rsidRDefault="003F2AEF" w:rsidP="003F2AEF">
      <w:pPr>
        <w:widowControl w:val="0"/>
        <w:tabs>
          <w:tab w:val="left" w:pos="720"/>
        </w:tabs>
        <w:autoSpaceDE w:val="0"/>
        <w:autoSpaceDN w:val="0"/>
        <w:adjustRightInd w:val="0"/>
        <w:spacing w:after="0"/>
        <w:rPr>
          <w:rFonts w:ascii="Times New Roman" w:eastAsia="Times New Roman" w:hAnsi="Times New Roman"/>
          <w:b/>
          <w:sz w:val="24"/>
          <w:szCs w:val="24"/>
          <w:lang w:val="uk-UA" w:eastAsia="ru-RU"/>
        </w:rPr>
      </w:pPr>
      <w:r w:rsidRPr="003F2AEF">
        <w:rPr>
          <w:rFonts w:ascii="Times New Roman" w:eastAsia="Times New Roman" w:hAnsi="Times New Roman"/>
          <w:b/>
          <w:sz w:val="24"/>
          <w:szCs w:val="24"/>
          <w:lang w:val="uk-UA" w:eastAsia="ru-RU"/>
        </w:rPr>
        <w:t>Вибір елементів порівняння</w:t>
      </w:r>
    </w:p>
    <w:p w:rsidR="003F2AEF" w:rsidRPr="003F2AEF" w:rsidRDefault="003F2AEF" w:rsidP="003F2AEF">
      <w:pPr>
        <w:widowControl w:val="0"/>
        <w:tabs>
          <w:tab w:val="left" w:pos="720"/>
        </w:tabs>
        <w:autoSpaceDE w:val="0"/>
        <w:autoSpaceDN w:val="0"/>
        <w:adjustRightInd w:val="0"/>
        <w:spacing w:after="0"/>
        <w:ind w:left="36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Основні критерії вибору порівнянних об'єктів (аналогів):</w:t>
      </w:r>
    </w:p>
    <w:p w:rsidR="003F2AEF" w:rsidRPr="003F2AEF" w:rsidRDefault="003F2AEF" w:rsidP="003F2AEF">
      <w:pPr>
        <w:widowControl w:val="0"/>
        <w:numPr>
          <w:ilvl w:val="0"/>
          <w:numId w:val="24"/>
        </w:numPr>
        <w:tabs>
          <w:tab w:val="left" w:pos="720"/>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права власності на нерухомість;</w:t>
      </w:r>
    </w:p>
    <w:p w:rsidR="003F2AEF" w:rsidRPr="003F2AEF" w:rsidRDefault="003F2AEF" w:rsidP="003F2AEF">
      <w:pPr>
        <w:widowControl w:val="0"/>
        <w:numPr>
          <w:ilvl w:val="0"/>
          <w:numId w:val="24"/>
        </w:numPr>
        <w:tabs>
          <w:tab w:val="left" w:pos="720"/>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умови фінансування;</w:t>
      </w:r>
    </w:p>
    <w:p w:rsidR="003F2AEF" w:rsidRPr="003F2AEF" w:rsidRDefault="003F2AEF" w:rsidP="003F2AEF">
      <w:pPr>
        <w:widowControl w:val="0"/>
        <w:numPr>
          <w:ilvl w:val="0"/>
          <w:numId w:val="24"/>
        </w:numPr>
        <w:tabs>
          <w:tab w:val="left" w:pos="720"/>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умови і час продажу;</w:t>
      </w:r>
    </w:p>
    <w:p w:rsidR="003F2AEF" w:rsidRPr="003F2AEF" w:rsidRDefault="003F2AEF" w:rsidP="003F2AEF">
      <w:pPr>
        <w:widowControl w:val="0"/>
        <w:numPr>
          <w:ilvl w:val="0"/>
          <w:numId w:val="24"/>
        </w:numPr>
        <w:tabs>
          <w:tab w:val="left" w:pos="720"/>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місце розташування;</w:t>
      </w:r>
    </w:p>
    <w:p w:rsidR="003F2AEF" w:rsidRPr="003F2AEF" w:rsidRDefault="003F2AEF" w:rsidP="003F2AEF">
      <w:pPr>
        <w:widowControl w:val="0"/>
        <w:numPr>
          <w:ilvl w:val="0"/>
          <w:numId w:val="24"/>
        </w:numPr>
        <w:tabs>
          <w:tab w:val="left" w:pos="720"/>
        </w:tabs>
        <w:autoSpaceDE w:val="0"/>
        <w:autoSpaceDN w:val="0"/>
        <w:adjustRightInd w:val="0"/>
        <w:spacing w:after="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фізичні характеристики.</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У деяких випадках додаються такі елементи порівняння:</w:t>
      </w:r>
    </w:p>
    <w:p w:rsidR="003F2AEF" w:rsidRPr="003F2AEF" w:rsidRDefault="003F2AEF" w:rsidP="003F2AEF">
      <w:pPr>
        <w:widowControl w:val="0"/>
        <w:numPr>
          <w:ilvl w:val="0"/>
          <w:numId w:val="31"/>
        </w:numPr>
        <w:tabs>
          <w:tab w:val="clear" w:pos="720"/>
          <w:tab w:val="left" w:pos="-851"/>
          <w:tab w:val="num" w:pos="0"/>
        </w:tabs>
        <w:autoSpaceDE w:val="0"/>
        <w:autoSpaceDN w:val="0"/>
        <w:adjustRightInd w:val="0"/>
        <w:spacing w:after="0"/>
        <w:ind w:left="0" w:firstLine="426"/>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економічні характеристики (поточні витрати на підтримання об'єкта в функціонально-придатному стані, якість управління, умови і терміни оренди);</w:t>
      </w:r>
    </w:p>
    <w:p w:rsidR="003F2AEF" w:rsidRPr="003F2AEF" w:rsidRDefault="003F2AEF" w:rsidP="003F2AEF">
      <w:pPr>
        <w:widowControl w:val="0"/>
        <w:numPr>
          <w:ilvl w:val="0"/>
          <w:numId w:val="31"/>
        </w:numPr>
        <w:tabs>
          <w:tab w:val="clear" w:pos="720"/>
          <w:tab w:val="left" w:pos="-851"/>
          <w:tab w:val="num" w:pos="0"/>
        </w:tabs>
        <w:autoSpaceDE w:val="0"/>
        <w:autoSpaceDN w:val="0"/>
        <w:adjustRightInd w:val="0"/>
        <w:spacing w:after="0"/>
        <w:ind w:left="0" w:firstLine="426"/>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спосіб використання;</w:t>
      </w:r>
    </w:p>
    <w:p w:rsidR="003F2AEF" w:rsidRPr="003F2AEF" w:rsidRDefault="003F2AEF" w:rsidP="003F2AEF">
      <w:pPr>
        <w:widowControl w:val="0"/>
        <w:numPr>
          <w:ilvl w:val="0"/>
          <w:numId w:val="31"/>
        </w:numPr>
        <w:tabs>
          <w:tab w:val="clear" w:pos="720"/>
          <w:tab w:val="left" w:pos="-851"/>
          <w:tab w:val="num" w:pos="0"/>
        </w:tabs>
        <w:autoSpaceDE w:val="0"/>
        <w:autoSpaceDN w:val="0"/>
        <w:adjustRightInd w:val="0"/>
        <w:spacing w:after="0"/>
        <w:ind w:left="0" w:firstLine="426"/>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компоненти вартості, не пов'язані з нерухомістю.</w:t>
      </w:r>
    </w:p>
    <w:p w:rsidR="003F2AEF" w:rsidRPr="003F2AEF" w:rsidRDefault="003F2AEF" w:rsidP="003F2AEF">
      <w:pPr>
        <w:widowControl w:val="0"/>
        <w:tabs>
          <w:tab w:val="num" w:pos="0"/>
          <w:tab w:val="left" w:pos="1134"/>
        </w:tabs>
        <w:autoSpaceDE w:val="0"/>
        <w:autoSpaceDN w:val="0"/>
        <w:adjustRightInd w:val="0"/>
        <w:spacing w:after="0"/>
        <w:ind w:firstLine="709"/>
        <w:jc w:val="both"/>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Права власності.</w:t>
      </w:r>
      <w:r w:rsidRPr="003F2AEF">
        <w:rPr>
          <w:rFonts w:ascii="Times New Roman" w:eastAsia="Times New Roman" w:hAnsi="Times New Roman"/>
          <w:sz w:val="24"/>
          <w:szCs w:val="24"/>
          <w:lang w:val="uk-UA" w:eastAsia="ru-RU"/>
        </w:rPr>
        <w:t xml:space="preserve"> </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Коригування на права власності - це різниця між ринковою і договірною орендною платою, тому що повне право власності визначається при ринкової орендної плати. Коригування вноситься, якщо власність продається разом з існуючим орендним договором.</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Якщо договірна орендна плата відрізняється від ринкової, то майбутній власник буде протягом строку договору оренди отримувати грошові потоки, що відрізняються від ринкових.</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Умови фінансування.</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Коригування вноситься, якщо є кредит або відстрочений платіж. Вартість об'єкта аналога зменшується.</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Умови і час продажу.</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Поправки на ці характеристики робляться в першу чергу. Коригування на умови продажу відображає не типові для ринку відносини між продавцем і покупцем. Головні </w:t>
      </w:r>
      <w:r w:rsidRPr="003F2AEF">
        <w:rPr>
          <w:rFonts w:ascii="Times New Roman" w:eastAsia="Times New Roman" w:hAnsi="Times New Roman"/>
          <w:sz w:val="24"/>
          <w:szCs w:val="24"/>
          <w:lang w:val="uk-UA" w:eastAsia="ru-RU"/>
        </w:rPr>
        <w:lastRenderedPageBreak/>
        <w:t>труднощі - це виявлення не типових мотивів угоди. При підозрі на неринкові умови продажу даний об'єкт слід розглядати, як порівнянну продаж дуже обережно або взагалі виключити його з переліку об'єктів порівняння.</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Час продажу - коригування вноситься з урахуванням тенденцій зміни цін на ринку нерухомості. </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Основні фактори впливу:</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 інфляція;</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зміни законодавства;</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зміна попиту і пропозиції.</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Необхідно врахувати, що ринкові умови можуть змінюватися як в цілому, так і для окремих видів власності.</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b/>
          <w:bCs/>
          <w:i/>
          <w:iCs/>
          <w:sz w:val="24"/>
          <w:szCs w:val="24"/>
          <w:lang w:val="uk-UA" w:eastAsia="ru-RU"/>
        </w:rPr>
      </w:pPr>
      <w:r w:rsidRPr="003F2AEF">
        <w:rPr>
          <w:rFonts w:ascii="Times New Roman" w:eastAsia="Times New Roman" w:hAnsi="Times New Roman"/>
          <w:b/>
          <w:bCs/>
          <w:i/>
          <w:iCs/>
          <w:sz w:val="24"/>
          <w:szCs w:val="24"/>
          <w:lang w:val="uk-UA" w:eastAsia="ru-RU"/>
        </w:rPr>
        <w:t xml:space="preserve">   Фізичні характеристики.</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Враховуються відмінності в:</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розмірах;</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конструктивних елементах;</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як матеріали;</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знос;</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зовнішній вигляд;</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стан впорядкування;</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функціональні можливості;</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естетичних характеристиках.</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Коригування на фізичні характеристики вимагає обговорення кожного елемента відмінності. При цьому величина коригування не завжди може дорівнювати вартості будь-якої деталі відмінності, так як не кожен типовий покупець готовий платити за зміну архітектурної деталі.</w:t>
      </w:r>
    </w:p>
    <w:p w:rsidR="003F2AEF" w:rsidRPr="003F2AEF" w:rsidRDefault="003F2AEF" w:rsidP="003F2AEF">
      <w:pPr>
        <w:widowControl w:val="0"/>
        <w:autoSpaceDE w:val="0"/>
        <w:autoSpaceDN w:val="0"/>
        <w:adjustRightInd w:val="0"/>
        <w:spacing w:after="0"/>
        <w:jc w:val="center"/>
        <w:rPr>
          <w:rFonts w:ascii="Times New Roman" w:eastAsia="Times New Roman" w:hAnsi="Times New Roman"/>
          <w:b/>
          <w:bCs/>
          <w:sz w:val="24"/>
          <w:szCs w:val="24"/>
          <w:lang w:val="uk-UA" w:eastAsia="ru-RU"/>
        </w:rPr>
      </w:pPr>
    </w:p>
    <w:p w:rsidR="003F2AEF" w:rsidRPr="003F2AEF" w:rsidRDefault="003F2AEF" w:rsidP="003F2AEF">
      <w:pPr>
        <w:widowControl w:val="0"/>
        <w:autoSpaceDE w:val="0"/>
        <w:autoSpaceDN w:val="0"/>
        <w:adjustRightInd w:val="0"/>
        <w:spacing w:after="0"/>
        <w:ind w:firstLine="709"/>
        <w:jc w:val="center"/>
        <w:rPr>
          <w:rFonts w:ascii="Times New Roman" w:eastAsia="Times New Roman" w:hAnsi="Times New Roman"/>
          <w:b/>
          <w:bCs/>
          <w:sz w:val="24"/>
          <w:szCs w:val="24"/>
          <w:u w:val="single"/>
          <w:lang w:val="uk-UA" w:eastAsia="ru-RU"/>
        </w:rPr>
      </w:pPr>
      <w:r w:rsidRPr="003F2AEF">
        <w:rPr>
          <w:rFonts w:ascii="Times New Roman" w:eastAsia="Times New Roman" w:hAnsi="Times New Roman"/>
          <w:b/>
          <w:bCs/>
          <w:sz w:val="24"/>
          <w:szCs w:val="24"/>
          <w:lang w:val="uk-UA" w:eastAsia="ru-RU"/>
        </w:rPr>
        <w:t>4. Класифікація і методи виконання коригувань</w:t>
      </w:r>
    </w:p>
    <w:p w:rsidR="003F2AEF" w:rsidRPr="003F2AEF" w:rsidRDefault="003F2AEF" w:rsidP="00856EF4">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w:t>
      </w:r>
      <w:r w:rsidRPr="003F2AEF">
        <w:rPr>
          <w:rFonts w:ascii="Times New Roman" w:eastAsia="Times New Roman" w:hAnsi="Times New Roman"/>
          <w:b/>
          <w:bCs/>
          <w:i/>
          <w:iCs/>
          <w:sz w:val="24"/>
          <w:szCs w:val="24"/>
          <w:lang w:val="uk-UA" w:eastAsia="ru-RU"/>
        </w:rPr>
        <w:t xml:space="preserve">Класифікація </w:t>
      </w:r>
      <w:r w:rsidRPr="003F2AEF">
        <w:rPr>
          <w:rFonts w:ascii="Times New Roman" w:eastAsia="Times New Roman" w:hAnsi="Times New Roman"/>
          <w:bCs/>
          <w:iCs/>
          <w:sz w:val="24"/>
          <w:szCs w:val="24"/>
          <w:lang w:val="uk-UA" w:eastAsia="ru-RU"/>
        </w:rPr>
        <w:t>вводяться поправок заснована на різних способах розрахунку і внесення коригувань на відмінності, які є між оцінюваним об'єктом і об'єктом аналогом</w:t>
      </w:r>
      <w:r w:rsidRPr="003F2AEF">
        <w:rPr>
          <w:rFonts w:ascii="Times New Roman" w:eastAsia="Times New Roman" w:hAnsi="Times New Roman"/>
          <w:sz w:val="24"/>
          <w:szCs w:val="24"/>
          <w:lang w:val="uk-UA" w:eastAsia="ru-RU"/>
        </w:rPr>
        <w:t>.</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 xml:space="preserve">Процентні поправки </w:t>
      </w:r>
      <w:r w:rsidRPr="003F2AEF">
        <w:rPr>
          <w:rFonts w:ascii="Times New Roman" w:eastAsia="Times New Roman" w:hAnsi="Times New Roman"/>
          <w:bCs/>
          <w:iCs/>
          <w:sz w:val="24"/>
          <w:szCs w:val="24"/>
          <w:lang w:val="uk-UA" w:eastAsia="ru-RU"/>
        </w:rPr>
        <w:t>вносяться шляхом множення ціни продажу об'єкта аналога або його одиниці порівняння на коефіцієнт, що відображає ступінь відмінності в характеристиках об'єкта-аналога і оцінюваного об'єкта. До процентних відносяться: поправки на місце розташування, знос, час продажів</w:t>
      </w:r>
      <w:r w:rsidRPr="003F2AEF">
        <w:rPr>
          <w:rFonts w:ascii="Times New Roman" w:eastAsia="Times New Roman" w:hAnsi="Times New Roman"/>
          <w:sz w:val="24"/>
          <w:szCs w:val="24"/>
          <w:lang w:val="uk-UA" w:eastAsia="ru-RU"/>
        </w:rPr>
        <w:t>.</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До </w:t>
      </w:r>
      <w:r w:rsidRPr="003F2AEF">
        <w:rPr>
          <w:rFonts w:ascii="Times New Roman" w:eastAsia="Times New Roman" w:hAnsi="Times New Roman"/>
          <w:b/>
          <w:i/>
          <w:sz w:val="24"/>
          <w:szCs w:val="24"/>
          <w:lang w:val="uk-UA" w:eastAsia="ru-RU"/>
        </w:rPr>
        <w:t>грошових поправкам</w:t>
      </w:r>
      <w:r w:rsidRPr="003F2AEF">
        <w:rPr>
          <w:rFonts w:ascii="Times New Roman" w:eastAsia="Times New Roman" w:hAnsi="Times New Roman"/>
          <w:sz w:val="24"/>
          <w:szCs w:val="24"/>
          <w:lang w:val="uk-UA" w:eastAsia="ru-RU"/>
        </w:rPr>
        <w:t xml:space="preserve">, внесеним до </w:t>
      </w:r>
      <w:r w:rsidRPr="003F2AEF">
        <w:rPr>
          <w:rFonts w:ascii="Times New Roman" w:eastAsia="Times New Roman" w:hAnsi="Times New Roman"/>
          <w:i/>
          <w:sz w:val="24"/>
          <w:szCs w:val="24"/>
          <w:lang w:val="uk-UA" w:eastAsia="ru-RU"/>
        </w:rPr>
        <w:t>одиниці порівняння</w:t>
      </w:r>
      <w:r w:rsidRPr="003F2AEF">
        <w:rPr>
          <w:rFonts w:ascii="Times New Roman" w:eastAsia="Times New Roman" w:hAnsi="Times New Roman"/>
          <w:sz w:val="24"/>
          <w:szCs w:val="24"/>
          <w:lang w:val="uk-UA" w:eastAsia="ru-RU"/>
        </w:rPr>
        <w:t xml:space="preserve"> можна віднести поправки на якісні характеристики, а також поправки, розраховані статистичними методами. </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До </w:t>
      </w:r>
      <w:r w:rsidRPr="003F2AEF">
        <w:rPr>
          <w:rFonts w:ascii="Times New Roman" w:eastAsia="Times New Roman" w:hAnsi="Times New Roman"/>
          <w:b/>
          <w:i/>
          <w:sz w:val="24"/>
          <w:szCs w:val="24"/>
          <w:lang w:val="uk-UA" w:eastAsia="ru-RU"/>
        </w:rPr>
        <w:t>грошових поправкам</w:t>
      </w:r>
      <w:r w:rsidRPr="003F2AEF">
        <w:rPr>
          <w:rFonts w:ascii="Times New Roman" w:eastAsia="Times New Roman" w:hAnsi="Times New Roman"/>
          <w:sz w:val="24"/>
          <w:szCs w:val="24"/>
          <w:lang w:val="uk-UA" w:eastAsia="ru-RU"/>
        </w:rPr>
        <w:t xml:space="preserve">, внесеним до ціни проданого об'єкта аналога в цілому, слід віднести поправки на наявність або відсутність додаткових поліпшень (складських прибудов, автостоянок і </w:t>
      </w:r>
      <w:proofErr w:type="spellStart"/>
      <w:r w:rsidRPr="003F2AEF">
        <w:rPr>
          <w:rFonts w:ascii="Times New Roman" w:eastAsia="Times New Roman" w:hAnsi="Times New Roman"/>
          <w:sz w:val="24"/>
          <w:szCs w:val="24"/>
          <w:lang w:val="uk-UA" w:eastAsia="ru-RU"/>
        </w:rPr>
        <w:t>т.д</w:t>
      </w:r>
      <w:proofErr w:type="spellEnd"/>
      <w:r w:rsidRPr="003F2AEF">
        <w:rPr>
          <w:rFonts w:ascii="Times New Roman" w:eastAsia="Times New Roman" w:hAnsi="Times New Roman"/>
          <w:sz w:val="24"/>
          <w:szCs w:val="24"/>
          <w:lang w:val="uk-UA" w:eastAsia="ru-RU"/>
        </w:rPr>
        <w:t>.).</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p>
    <w:p w:rsidR="00856EF4" w:rsidRDefault="00856EF4" w:rsidP="003F2AEF">
      <w:pPr>
        <w:widowControl w:val="0"/>
        <w:autoSpaceDE w:val="0"/>
        <w:autoSpaceDN w:val="0"/>
        <w:adjustRightInd w:val="0"/>
        <w:spacing w:after="0"/>
        <w:ind w:firstLine="709"/>
        <w:rPr>
          <w:rFonts w:ascii="Times New Roman" w:eastAsia="Times New Roman" w:hAnsi="Times New Roman"/>
          <w:sz w:val="24"/>
          <w:szCs w:val="24"/>
          <w:u w:val="single"/>
          <w:lang w:val="uk-UA" w:eastAsia="ru-RU"/>
        </w:rPr>
      </w:pPr>
    </w:p>
    <w:p w:rsidR="003F2AEF" w:rsidRPr="003F2AEF" w:rsidRDefault="003F2AEF" w:rsidP="003F2AEF">
      <w:pPr>
        <w:widowControl w:val="0"/>
        <w:autoSpaceDE w:val="0"/>
        <w:autoSpaceDN w:val="0"/>
        <w:adjustRightInd w:val="0"/>
        <w:spacing w:after="0"/>
        <w:ind w:firstLine="709"/>
        <w:rPr>
          <w:rFonts w:ascii="Times New Roman" w:eastAsia="Times New Roman" w:hAnsi="Times New Roman"/>
          <w:sz w:val="24"/>
          <w:szCs w:val="24"/>
          <w:u w:val="single"/>
          <w:lang w:val="uk-UA" w:eastAsia="ru-RU"/>
        </w:rPr>
      </w:pPr>
      <w:r w:rsidRPr="003F2AEF">
        <w:rPr>
          <w:rFonts w:ascii="Times New Roman" w:eastAsia="Times New Roman" w:hAnsi="Times New Roman"/>
          <w:sz w:val="24"/>
          <w:szCs w:val="24"/>
          <w:u w:val="single"/>
          <w:lang w:val="uk-UA" w:eastAsia="ru-RU"/>
        </w:rPr>
        <w:lastRenderedPageBreak/>
        <w:t>Методи внесення поправок:</w:t>
      </w:r>
    </w:p>
    <w:p w:rsidR="003F2AEF" w:rsidRPr="003F2AEF" w:rsidRDefault="003F2AEF" w:rsidP="003F2AEF">
      <w:pPr>
        <w:widowControl w:val="0"/>
        <w:numPr>
          <w:ilvl w:val="0"/>
          <w:numId w:val="25"/>
        </w:numPr>
        <w:tabs>
          <w:tab w:val="left" w:pos="-567"/>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методи, засновані на аналізі парних продажів;</w:t>
      </w:r>
    </w:p>
    <w:p w:rsidR="003F2AEF" w:rsidRPr="003F2AEF" w:rsidRDefault="003F2AEF" w:rsidP="003F2AEF">
      <w:pPr>
        <w:widowControl w:val="0"/>
        <w:numPr>
          <w:ilvl w:val="0"/>
          <w:numId w:val="25"/>
        </w:numPr>
        <w:tabs>
          <w:tab w:val="left" w:pos="-567"/>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експертні методи розрахунку і внесення поправок;</w:t>
      </w:r>
    </w:p>
    <w:p w:rsidR="003F2AEF" w:rsidRPr="003F2AEF" w:rsidRDefault="003F2AEF" w:rsidP="003F2AEF">
      <w:pPr>
        <w:widowControl w:val="0"/>
        <w:numPr>
          <w:ilvl w:val="0"/>
          <w:numId w:val="25"/>
        </w:numPr>
        <w:tabs>
          <w:tab w:val="left" w:pos="-567"/>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статистичні методи.</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b/>
          <w:bCs/>
          <w:i/>
          <w:iCs/>
          <w:sz w:val="24"/>
          <w:szCs w:val="24"/>
          <w:lang w:val="uk-UA" w:eastAsia="ru-RU"/>
        </w:rPr>
      </w:pP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 xml:space="preserve">Метод парних продажів. </w:t>
      </w:r>
      <w:r w:rsidRPr="003F2AEF">
        <w:rPr>
          <w:rFonts w:ascii="Times New Roman" w:eastAsia="Times New Roman" w:hAnsi="Times New Roman"/>
          <w:bCs/>
          <w:iCs/>
          <w:sz w:val="24"/>
          <w:szCs w:val="24"/>
          <w:lang w:val="uk-UA" w:eastAsia="ru-RU"/>
        </w:rPr>
        <w:t xml:space="preserve">Під парної </w:t>
      </w:r>
      <w:proofErr w:type="spellStart"/>
      <w:r w:rsidRPr="003F2AEF">
        <w:rPr>
          <w:rFonts w:ascii="Times New Roman" w:eastAsia="Times New Roman" w:hAnsi="Times New Roman"/>
          <w:bCs/>
          <w:iCs/>
          <w:sz w:val="24"/>
          <w:szCs w:val="24"/>
          <w:lang w:val="uk-UA" w:eastAsia="ru-RU"/>
        </w:rPr>
        <w:t>продажем</w:t>
      </w:r>
      <w:proofErr w:type="spellEnd"/>
      <w:r w:rsidRPr="003F2AEF">
        <w:rPr>
          <w:rFonts w:ascii="Times New Roman" w:eastAsia="Times New Roman" w:hAnsi="Times New Roman"/>
          <w:bCs/>
          <w:iCs/>
          <w:sz w:val="24"/>
          <w:szCs w:val="24"/>
          <w:lang w:val="uk-UA" w:eastAsia="ru-RU"/>
        </w:rPr>
        <w:t xml:space="preserve"> на увазі продаж двох об'єктів, в ідеалі є точною копією один одного за винятком одного параметра, наприклад розташування, наявністю якого пояснюється різниця в ціні цих об'єктів</w:t>
      </w:r>
      <w:r w:rsidRPr="003F2AEF">
        <w:rPr>
          <w:rFonts w:ascii="Times New Roman" w:eastAsia="Times New Roman" w:hAnsi="Times New Roman"/>
          <w:sz w:val="24"/>
          <w:szCs w:val="24"/>
          <w:lang w:val="uk-UA" w:eastAsia="ru-RU"/>
        </w:rPr>
        <w:t>.</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b/>
          <w:bCs/>
          <w:i/>
          <w:iCs/>
          <w:sz w:val="24"/>
          <w:szCs w:val="24"/>
          <w:lang w:val="uk-UA" w:eastAsia="ru-RU"/>
        </w:rPr>
      </w:pPr>
      <w:r w:rsidRPr="003F2AEF">
        <w:rPr>
          <w:rFonts w:ascii="Times New Roman" w:eastAsia="Times New Roman" w:hAnsi="Times New Roman"/>
          <w:b/>
          <w:bCs/>
          <w:i/>
          <w:iCs/>
          <w:sz w:val="24"/>
          <w:szCs w:val="24"/>
          <w:lang w:val="uk-UA" w:eastAsia="ru-RU"/>
        </w:rPr>
        <w:t xml:space="preserve">Експертні методи. </w:t>
      </w:r>
      <w:r w:rsidRPr="003F2AEF">
        <w:rPr>
          <w:rFonts w:ascii="Times New Roman" w:eastAsia="Times New Roman" w:hAnsi="Times New Roman"/>
          <w:bCs/>
          <w:iCs/>
          <w:sz w:val="24"/>
          <w:szCs w:val="24"/>
          <w:lang w:val="uk-UA" w:eastAsia="ru-RU"/>
        </w:rPr>
        <w:t>Основу становить суб'єктивна думка експерта-оцінювача про те наскільки оцінюваний об'єкт гірше або краще порівнянного аналога</w:t>
      </w:r>
      <w:r w:rsidRPr="003F2AEF">
        <w:rPr>
          <w:rFonts w:ascii="Times New Roman" w:eastAsia="Times New Roman" w:hAnsi="Times New Roman"/>
          <w:b/>
          <w:bCs/>
          <w:i/>
          <w:iCs/>
          <w:sz w:val="24"/>
          <w:szCs w:val="24"/>
          <w:lang w:val="uk-UA" w:eastAsia="ru-RU"/>
        </w:rPr>
        <w:t>.</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b/>
          <w:bCs/>
          <w:i/>
          <w:iCs/>
          <w:sz w:val="24"/>
          <w:szCs w:val="24"/>
          <w:lang w:val="uk-UA" w:eastAsia="ru-RU"/>
        </w:rPr>
        <w:t xml:space="preserve">Статистичні методи. </w:t>
      </w:r>
      <w:r w:rsidRPr="003F2AEF">
        <w:rPr>
          <w:rFonts w:ascii="Times New Roman" w:eastAsia="Times New Roman" w:hAnsi="Times New Roman"/>
          <w:bCs/>
          <w:iCs/>
          <w:sz w:val="24"/>
          <w:szCs w:val="24"/>
          <w:lang w:val="uk-UA" w:eastAsia="ru-RU"/>
        </w:rPr>
        <w:t>Користуються при проведенні аналізу великої кількості репрезентативних вибірок з бази даних</w:t>
      </w:r>
      <w:r w:rsidRPr="003F2AEF">
        <w:rPr>
          <w:rFonts w:ascii="Times New Roman" w:eastAsia="Times New Roman" w:hAnsi="Times New Roman"/>
          <w:sz w:val="24"/>
          <w:szCs w:val="24"/>
          <w:lang w:val="uk-UA" w:eastAsia="ru-RU"/>
        </w:rPr>
        <w:t>.</w:t>
      </w:r>
    </w:p>
    <w:p w:rsidR="003F2AEF" w:rsidRPr="003F2AEF" w:rsidRDefault="003F2AEF" w:rsidP="003F2AEF">
      <w:pPr>
        <w:widowControl w:val="0"/>
        <w:autoSpaceDE w:val="0"/>
        <w:autoSpaceDN w:val="0"/>
        <w:adjustRightInd w:val="0"/>
        <w:spacing w:after="0"/>
        <w:ind w:firstLine="709"/>
        <w:jc w:val="center"/>
        <w:rPr>
          <w:rFonts w:ascii="Times New Roman" w:eastAsia="Times New Roman" w:hAnsi="Times New Roman"/>
          <w:sz w:val="24"/>
          <w:szCs w:val="24"/>
          <w:lang w:val="uk-UA" w:eastAsia="ru-RU"/>
        </w:rPr>
      </w:pPr>
    </w:p>
    <w:p w:rsidR="00856EF4" w:rsidRPr="00856EF4" w:rsidRDefault="003F2AEF" w:rsidP="00856EF4">
      <w:pPr>
        <w:widowControl w:val="0"/>
        <w:autoSpaceDE w:val="0"/>
        <w:autoSpaceDN w:val="0"/>
        <w:adjustRightInd w:val="0"/>
        <w:spacing w:after="0"/>
        <w:ind w:firstLine="709"/>
        <w:jc w:val="center"/>
        <w:rPr>
          <w:rFonts w:ascii="Times New Roman" w:eastAsia="Times New Roman" w:hAnsi="Times New Roman"/>
          <w:b/>
          <w:bCs/>
          <w:iCs/>
          <w:sz w:val="24"/>
          <w:szCs w:val="24"/>
          <w:lang w:val="uk-UA" w:eastAsia="ru-RU"/>
        </w:rPr>
      </w:pPr>
      <w:r w:rsidRPr="003F2AEF">
        <w:rPr>
          <w:rFonts w:ascii="Times New Roman" w:eastAsia="Times New Roman" w:hAnsi="Times New Roman"/>
          <w:b/>
          <w:bCs/>
          <w:sz w:val="24"/>
          <w:szCs w:val="24"/>
          <w:lang w:val="uk-UA" w:eastAsia="ru-RU"/>
        </w:rPr>
        <w:t xml:space="preserve">5. </w:t>
      </w:r>
      <w:r w:rsidRPr="003F2AEF">
        <w:rPr>
          <w:rFonts w:ascii="Times New Roman" w:eastAsia="Times New Roman" w:hAnsi="Times New Roman"/>
          <w:b/>
          <w:bCs/>
          <w:iCs/>
          <w:sz w:val="24"/>
          <w:szCs w:val="24"/>
          <w:lang w:val="uk-UA" w:eastAsia="ru-RU"/>
        </w:rPr>
        <w:t>Правила внесення коригувань</w:t>
      </w:r>
      <w:r w:rsidR="00856EF4" w:rsidRPr="00856EF4">
        <w:rPr>
          <w:rFonts w:ascii="Times New Roman" w:eastAsia="Times New Roman" w:hAnsi="Times New Roman"/>
          <w:b/>
          <w:bCs/>
          <w:iCs/>
          <w:sz w:val="24"/>
          <w:szCs w:val="24"/>
          <w:lang w:val="uk-UA" w:eastAsia="ru-RU"/>
        </w:rPr>
        <w:t xml:space="preserve"> та узгодження скоригованих цін</w:t>
      </w:r>
    </w:p>
    <w:p w:rsidR="003F2AEF" w:rsidRPr="003F2AEF" w:rsidRDefault="003F2AEF" w:rsidP="003F2AEF">
      <w:pPr>
        <w:widowControl w:val="0"/>
        <w:autoSpaceDE w:val="0"/>
        <w:autoSpaceDN w:val="0"/>
        <w:adjustRightInd w:val="0"/>
        <w:spacing w:after="0"/>
        <w:ind w:firstLine="709"/>
        <w:jc w:val="center"/>
        <w:rPr>
          <w:rFonts w:ascii="Times New Roman" w:eastAsia="Times New Roman" w:hAnsi="Times New Roman"/>
          <w:b/>
          <w:bCs/>
          <w:i/>
          <w:iCs/>
          <w:sz w:val="24"/>
          <w:szCs w:val="24"/>
          <w:lang w:val="uk-UA" w:eastAsia="ru-RU"/>
        </w:rPr>
      </w:pPr>
    </w:p>
    <w:p w:rsidR="003F2AEF" w:rsidRPr="003F2AEF" w:rsidRDefault="003F2AEF" w:rsidP="003F2AEF">
      <w:pPr>
        <w:widowControl w:val="0"/>
        <w:numPr>
          <w:ilvl w:val="0"/>
          <w:numId w:val="26"/>
        </w:numPr>
        <w:tabs>
          <w:tab w:val="left" w:pos="720"/>
        </w:tabs>
        <w:autoSpaceDE w:val="0"/>
        <w:autoSpaceDN w:val="0"/>
        <w:adjustRightInd w:val="0"/>
        <w:spacing w:after="0"/>
        <w:ind w:left="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Внесення коригувань здійснюється застосуванням кожної наступної коригування до попереднього результату.</w:t>
      </w:r>
    </w:p>
    <w:p w:rsidR="003F2AEF" w:rsidRPr="003F2AEF" w:rsidRDefault="003F2AEF" w:rsidP="003F2AEF">
      <w:pPr>
        <w:widowControl w:val="0"/>
        <w:numPr>
          <w:ilvl w:val="0"/>
          <w:numId w:val="26"/>
        </w:numPr>
        <w:tabs>
          <w:tab w:val="left" w:pos="720"/>
        </w:tabs>
        <w:autoSpaceDE w:val="0"/>
        <w:autoSpaceDN w:val="0"/>
        <w:adjustRightInd w:val="0"/>
        <w:spacing w:after="0"/>
        <w:ind w:left="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Процентні коригування завжди вносяться першими.</w:t>
      </w:r>
    </w:p>
    <w:p w:rsidR="003F2AEF" w:rsidRPr="003F2AEF" w:rsidRDefault="003F2AEF" w:rsidP="003F2AEF">
      <w:pPr>
        <w:widowControl w:val="0"/>
        <w:numPr>
          <w:ilvl w:val="0"/>
          <w:numId w:val="26"/>
        </w:numPr>
        <w:tabs>
          <w:tab w:val="left" w:pos="720"/>
        </w:tabs>
        <w:autoSpaceDE w:val="0"/>
        <w:autoSpaceDN w:val="0"/>
        <w:adjustRightInd w:val="0"/>
        <w:spacing w:after="0"/>
        <w:ind w:left="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Слідом за відсотками, вносяться грошові поправки, послідовність внесення яких не має значення.</w:t>
      </w:r>
    </w:p>
    <w:p w:rsidR="003F2AEF" w:rsidRPr="003F2AEF" w:rsidRDefault="003F2AEF" w:rsidP="003F2AEF">
      <w:pPr>
        <w:widowControl w:val="0"/>
        <w:numPr>
          <w:ilvl w:val="0"/>
          <w:numId w:val="26"/>
        </w:numPr>
        <w:tabs>
          <w:tab w:val="left" w:pos="720"/>
        </w:tabs>
        <w:autoSpaceDE w:val="0"/>
        <w:autoSpaceDN w:val="0"/>
        <w:adjustRightInd w:val="0"/>
        <w:spacing w:after="0"/>
        <w:ind w:left="720"/>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 Якщо поправки на умови фінансування або право власності розраховані як абсолютно грошові, то вони застосовуються першими для коригування цін аналогів.</w:t>
      </w:r>
    </w:p>
    <w:p w:rsidR="003F2AEF" w:rsidRPr="003F2AEF" w:rsidRDefault="003F2AEF" w:rsidP="003F2AEF">
      <w:pPr>
        <w:widowControl w:val="0"/>
        <w:autoSpaceDE w:val="0"/>
        <w:autoSpaceDN w:val="0"/>
        <w:adjustRightInd w:val="0"/>
        <w:spacing w:after="0"/>
        <w:ind w:firstLine="709"/>
        <w:rPr>
          <w:rFonts w:ascii="Times New Roman" w:eastAsia="Times New Roman" w:hAnsi="Times New Roman"/>
          <w:b/>
          <w:bCs/>
          <w:sz w:val="24"/>
          <w:szCs w:val="24"/>
          <w:u w:val="single"/>
          <w:lang w:val="uk-UA" w:eastAsia="ru-RU"/>
        </w:rPr>
      </w:pPr>
    </w:p>
    <w:p w:rsidR="003F2AEF" w:rsidRPr="003F2AEF" w:rsidRDefault="003F2AEF" w:rsidP="003F2AEF">
      <w:pPr>
        <w:widowControl w:val="0"/>
        <w:tabs>
          <w:tab w:val="left" w:pos="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Це заключний етап порівняльного підходу.</w:t>
      </w:r>
    </w:p>
    <w:p w:rsidR="003F2AEF" w:rsidRPr="003F2AEF" w:rsidRDefault="003F2AEF" w:rsidP="003F2AEF">
      <w:pPr>
        <w:widowControl w:val="0"/>
        <w:tabs>
          <w:tab w:val="left" w:pos="0"/>
        </w:tabs>
        <w:autoSpaceDE w:val="0"/>
        <w:autoSpaceDN w:val="0"/>
        <w:adjustRightInd w:val="0"/>
        <w:spacing w:after="0"/>
        <w:ind w:firstLine="709"/>
        <w:jc w:val="both"/>
        <w:rPr>
          <w:rFonts w:ascii="Times New Roman" w:eastAsia="Times New Roman" w:hAnsi="Times New Roman"/>
          <w:bCs/>
          <w:iCs/>
          <w:sz w:val="24"/>
          <w:szCs w:val="24"/>
          <w:u w:val="single"/>
          <w:lang w:val="uk-UA" w:eastAsia="ru-RU"/>
        </w:rPr>
      </w:pPr>
      <w:r w:rsidRPr="003F2AEF">
        <w:rPr>
          <w:rFonts w:ascii="Times New Roman" w:eastAsia="Times New Roman" w:hAnsi="Times New Roman"/>
          <w:bCs/>
          <w:iCs/>
          <w:sz w:val="24"/>
          <w:szCs w:val="24"/>
          <w:u w:val="single"/>
          <w:lang w:val="uk-UA" w:eastAsia="ru-RU"/>
        </w:rPr>
        <w:t>Узгодження</w:t>
      </w:r>
      <w:r w:rsidRPr="003F2AEF">
        <w:rPr>
          <w:rFonts w:ascii="Times New Roman" w:eastAsia="Times New Roman" w:hAnsi="Times New Roman"/>
          <w:bCs/>
          <w:iCs/>
          <w:sz w:val="24"/>
          <w:szCs w:val="24"/>
          <w:lang w:val="uk-UA" w:eastAsia="ru-RU"/>
        </w:rPr>
        <w:t xml:space="preserve"> - це не усереднення отриманих результатів, а процес зважування і порівняння показників відповідно до їх характеристиками</w:t>
      </w:r>
      <w:r w:rsidRPr="003F2AEF">
        <w:rPr>
          <w:rFonts w:ascii="Times New Roman" w:eastAsia="Times New Roman" w:hAnsi="Times New Roman"/>
          <w:bCs/>
          <w:iCs/>
          <w:sz w:val="24"/>
          <w:szCs w:val="24"/>
          <w:u w:val="single"/>
          <w:lang w:val="uk-UA" w:eastAsia="ru-RU"/>
        </w:rPr>
        <w:t>.</w:t>
      </w:r>
    </w:p>
    <w:p w:rsidR="003F2AEF" w:rsidRPr="003F2AEF" w:rsidRDefault="003F2AEF" w:rsidP="003F2AEF">
      <w:pPr>
        <w:widowControl w:val="0"/>
        <w:tabs>
          <w:tab w:val="left" w:pos="0"/>
        </w:tabs>
        <w:autoSpaceDE w:val="0"/>
        <w:autoSpaceDN w:val="0"/>
        <w:adjustRightInd w:val="0"/>
        <w:spacing w:after="0"/>
        <w:ind w:firstLine="709"/>
        <w:jc w:val="both"/>
        <w:rPr>
          <w:rFonts w:ascii="Times New Roman" w:eastAsia="Times New Roman" w:hAnsi="Times New Roman"/>
          <w:bCs/>
          <w:iCs/>
          <w:sz w:val="24"/>
          <w:szCs w:val="24"/>
          <w:lang w:val="uk-UA" w:eastAsia="ru-RU"/>
        </w:rPr>
      </w:pPr>
      <w:r w:rsidRPr="003F2AEF">
        <w:rPr>
          <w:rFonts w:ascii="Times New Roman" w:eastAsia="Times New Roman" w:hAnsi="Times New Roman"/>
          <w:bCs/>
          <w:iCs/>
          <w:sz w:val="24"/>
          <w:szCs w:val="24"/>
          <w:lang w:val="uk-UA" w:eastAsia="ru-RU"/>
        </w:rPr>
        <w:t>При узгодженні слід враховувати наступне основне правило: «Чим менше кількість і величина коригувань внесених в ціну конкретного об'єкта порівняння, тим більшу вагу має даний продаж в процесі формування вартості оцінюваного об'єкта».</w:t>
      </w:r>
    </w:p>
    <w:p w:rsidR="003F2AEF" w:rsidRPr="003F2AEF" w:rsidRDefault="003F2AEF" w:rsidP="003F2AEF">
      <w:pPr>
        <w:widowControl w:val="0"/>
        <w:tabs>
          <w:tab w:val="left" w:pos="0"/>
        </w:tabs>
        <w:autoSpaceDE w:val="0"/>
        <w:autoSpaceDN w:val="0"/>
        <w:adjustRightInd w:val="0"/>
        <w:spacing w:after="0"/>
        <w:ind w:firstLine="709"/>
        <w:jc w:val="both"/>
        <w:rPr>
          <w:rFonts w:ascii="Times New Roman" w:eastAsia="Times New Roman" w:hAnsi="Times New Roman"/>
          <w:sz w:val="24"/>
          <w:szCs w:val="24"/>
          <w:u w:val="single"/>
          <w:lang w:val="uk-UA" w:eastAsia="ru-RU"/>
        </w:rPr>
      </w:pPr>
      <w:r w:rsidRPr="003F2AEF">
        <w:rPr>
          <w:rFonts w:ascii="Times New Roman" w:eastAsia="Times New Roman" w:hAnsi="Times New Roman"/>
          <w:bCs/>
          <w:iCs/>
          <w:sz w:val="24"/>
          <w:szCs w:val="24"/>
          <w:lang w:val="uk-UA" w:eastAsia="ru-RU"/>
        </w:rPr>
        <w:t>При наявності великої інформації про велику кількість схожих продажів і невеликому розходженні величин скоригованих цін застосовуються статистичні методи</w:t>
      </w:r>
      <w:r w:rsidRPr="003F2AEF">
        <w:rPr>
          <w:rFonts w:ascii="Times New Roman" w:eastAsia="Times New Roman" w:hAnsi="Times New Roman"/>
          <w:sz w:val="24"/>
          <w:szCs w:val="24"/>
          <w:u w:val="single"/>
          <w:lang w:val="uk-UA" w:eastAsia="ru-RU"/>
        </w:rPr>
        <w:t>.</w:t>
      </w:r>
    </w:p>
    <w:p w:rsidR="003F2AEF" w:rsidRPr="003F2AEF" w:rsidRDefault="003F2AEF" w:rsidP="003F2AEF">
      <w:pPr>
        <w:widowControl w:val="0"/>
        <w:tabs>
          <w:tab w:val="left" w:pos="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 xml:space="preserve">Зазвичай аналізуються </w:t>
      </w:r>
      <w:r w:rsidRPr="003F2AEF">
        <w:rPr>
          <w:rFonts w:ascii="Times New Roman" w:eastAsia="Times New Roman" w:hAnsi="Times New Roman"/>
          <w:sz w:val="24"/>
          <w:szCs w:val="24"/>
          <w:u w:val="single"/>
          <w:lang w:val="uk-UA" w:eastAsia="ru-RU"/>
        </w:rPr>
        <w:t>чотири показники</w:t>
      </w:r>
      <w:r w:rsidRPr="003F2AEF">
        <w:rPr>
          <w:rFonts w:ascii="Times New Roman" w:eastAsia="Times New Roman" w:hAnsi="Times New Roman"/>
          <w:sz w:val="24"/>
          <w:szCs w:val="24"/>
          <w:lang w:val="uk-UA" w:eastAsia="ru-RU"/>
        </w:rPr>
        <w:t>:</w:t>
      </w:r>
    </w:p>
    <w:p w:rsidR="003F2AEF" w:rsidRPr="003F2AEF" w:rsidRDefault="003F2AEF" w:rsidP="003F2AEF">
      <w:pPr>
        <w:widowControl w:val="0"/>
        <w:numPr>
          <w:ilvl w:val="0"/>
          <w:numId w:val="27"/>
        </w:numPr>
        <w:tabs>
          <w:tab w:val="left" w:pos="0"/>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Середнє арифметичне значення скоригованих цін;</w:t>
      </w:r>
    </w:p>
    <w:p w:rsidR="003F2AEF" w:rsidRPr="003F2AEF" w:rsidRDefault="003F2AEF" w:rsidP="003F2AEF">
      <w:pPr>
        <w:widowControl w:val="0"/>
        <w:numPr>
          <w:ilvl w:val="0"/>
          <w:numId w:val="27"/>
        </w:numPr>
        <w:tabs>
          <w:tab w:val="left" w:pos="0"/>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Мода - найбільш часто зустрічається значення в числовому ряду;</w:t>
      </w:r>
    </w:p>
    <w:p w:rsidR="003F2AEF" w:rsidRPr="003F2AEF" w:rsidRDefault="003F2AEF" w:rsidP="003F2AEF">
      <w:pPr>
        <w:widowControl w:val="0"/>
        <w:numPr>
          <w:ilvl w:val="0"/>
          <w:numId w:val="27"/>
        </w:numPr>
        <w:tabs>
          <w:tab w:val="left" w:pos="0"/>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Медіана - середина рангового числового ряду;</w:t>
      </w:r>
    </w:p>
    <w:p w:rsidR="003F2AEF" w:rsidRPr="003F2AEF" w:rsidRDefault="003F2AEF" w:rsidP="003F2AEF">
      <w:pPr>
        <w:widowControl w:val="0"/>
        <w:numPr>
          <w:ilvl w:val="0"/>
          <w:numId w:val="27"/>
        </w:numPr>
        <w:tabs>
          <w:tab w:val="left" w:pos="0"/>
          <w:tab w:val="left" w:pos="72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Скоригований ціна самого схожого на оцінюваний об'єкт аналога.</w:t>
      </w:r>
    </w:p>
    <w:p w:rsidR="003F2AEF" w:rsidRPr="003F2AEF" w:rsidRDefault="003F2AEF" w:rsidP="003F2AEF">
      <w:pPr>
        <w:widowControl w:val="0"/>
        <w:tabs>
          <w:tab w:val="left" w:pos="0"/>
        </w:tabs>
        <w:autoSpaceDE w:val="0"/>
        <w:autoSpaceDN w:val="0"/>
        <w:adjustRightInd w:val="0"/>
        <w:spacing w:after="0"/>
        <w:ind w:firstLine="709"/>
        <w:jc w:val="both"/>
        <w:rPr>
          <w:rFonts w:ascii="Times New Roman" w:eastAsia="Times New Roman" w:hAnsi="Times New Roman"/>
          <w:sz w:val="24"/>
          <w:szCs w:val="24"/>
          <w:lang w:val="uk-UA" w:eastAsia="ru-RU"/>
        </w:rPr>
      </w:pPr>
      <w:r w:rsidRPr="003F2AEF">
        <w:rPr>
          <w:rFonts w:ascii="Times New Roman" w:eastAsia="Times New Roman" w:hAnsi="Times New Roman"/>
          <w:sz w:val="24"/>
          <w:szCs w:val="24"/>
          <w:lang w:val="uk-UA" w:eastAsia="ru-RU"/>
        </w:rPr>
        <w:t>При призначенні вагового коефіцієнта можна застосувати теорію нечітких множин, зокрема метод аналізу ієрархій (розстановки пріоритетів).</w:t>
      </w:r>
    </w:p>
    <w:p w:rsidR="003F2AEF" w:rsidRPr="003F2AEF" w:rsidRDefault="003F2AEF" w:rsidP="003F2AEF">
      <w:pPr>
        <w:widowControl w:val="0"/>
        <w:autoSpaceDE w:val="0"/>
        <w:autoSpaceDN w:val="0"/>
        <w:adjustRightInd w:val="0"/>
        <w:spacing w:after="0"/>
        <w:ind w:firstLine="709"/>
        <w:jc w:val="both"/>
        <w:rPr>
          <w:rFonts w:ascii="Times New Roman" w:eastAsia="Times New Roman" w:hAnsi="Times New Roman"/>
          <w:sz w:val="24"/>
          <w:szCs w:val="24"/>
          <w:lang w:val="uk-UA" w:eastAsia="ru-RU"/>
        </w:rPr>
      </w:pPr>
    </w:p>
    <w:p w:rsidR="005D2D7E" w:rsidRPr="003F2AEF" w:rsidRDefault="005D2D7E" w:rsidP="003F2AEF">
      <w:pPr>
        <w:spacing w:after="0"/>
        <w:ind w:firstLine="284"/>
        <w:jc w:val="both"/>
        <w:rPr>
          <w:rFonts w:ascii="Times New Roman" w:eastAsia="Times New Roman" w:hAnsi="Times New Roman"/>
          <w:sz w:val="24"/>
          <w:szCs w:val="24"/>
          <w:lang w:val="uk-UA" w:eastAsia="ru-RU"/>
        </w:rPr>
      </w:pPr>
    </w:p>
    <w:sectPr w:rsidR="005D2D7E" w:rsidRPr="003F2AEF" w:rsidSect="00F51051">
      <w:footerReference w:type="default" r:id="rId14"/>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8A" w:rsidRDefault="007C348A" w:rsidP="00F51051">
      <w:pPr>
        <w:spacing w:after="0" w:line="240" w:lineRule="auto"/>
      </w:pPr>
      <w:r>
        <w:separator/>
      </w:r>
    </w:p>
  </w:endnote>
  <w:endnote w:type="continuationSeparator" w:id="0">
    <w:p w:rsidR="007C348A" w:rsidRDefault="007C348A" w:rsidP="00F5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51" w:rsidRDefault="00F51051" w:rsidP="00F51051">
    <w:pPr>
      <w:jc w:val="center"/>
      <w:rPr>
        <w:rFonts w:ascii="Times New Roman" w:hAnsi="Times New Roman"/>
        <w:b/>
        <w:sz w:val="24"/>
        <w:szCs w:val="24"/>
      </w:rPr>
    </w:pPr>
    <w:r>
      <w:rPr>
        <w:rFonts w:ascii="Times New Roman" w:hAnsi="Times New Roman"/>
        <w:b/>
        <w:sz w:val="24"/>
        <w:szCs w:val="24"/>
      </w:rPr>
      <w:t xml:space="preserve">                         </w:t>
    </w:r>
  </w:p>
  <w:p w:rsidR="00F51051" w:rsidRDefault="00F51051" w:rsidP="00F51051">
    <w:pPr>
      <w:jc w:val="center"/>
      <w:rPr>
        <w:rFonts w:ascii="Times New Roman" w:hAnsi="Times New Roman"/>
        <w:b/>
        <w:sz w:val="24"/>
        <w:szCs w:val="24"/>
      </w:rPr>
    </w:pPr>
  </w:p>
  <w:p w:rsidR="00F51051" w:rsidRPr="00F51051" w:rsidRDefault="00F51051" w:rsidP="00F51051">
    <w:pPr>
      <w:jc w:val="right"/>
      <w:rPr>
        <w:rFonts w:ascii="Times New Roman" w:hAnsi="Times New Roman"/>
        <w:sz w:val="18"/>
        <w:szCs w:val="18"/>
      </w:rPr>
    </w:pPr>
    <w:r w:rsidRPr="00F51051">
      <w:rPr>
        <w:rFonts w:ascii="Times New Roman" w:hAnsi="Times New Roman"/>
        <w:sz w:val="18"/>
        <w:szCs w:val="18"/>
      </w:rPr>
      <w:t>к.</w:t>
    </w:r>
    <w:r w:rsidR="00135205">
      <w:rPr>
        <w:rFonts w:ascii="Times New Roman" w:hAnsi="Times New Roman"/>
        <w:sz w:val="18"/>
        <w:szCs w:val="18"/>
        <w:lang w:val="uk-UA"/>
      </w:rPr>
      <w:t>е</w:t>
    </w:r>
    <w:r w:rsidRPr="00F51051">
      <w:rPr>
        <w:rFonts w:ascii="Times New Roman" w:hAnsi="Times New Roman"/>
        <w:sz w:val="18"/>
        <w:szCs w:val="18"/>
      </w:rPr>
      <w:t>.н., доц</w:t>
    </w:r>
    <w:r>
      <w:rPr>
        <w:rFonts w:ascii="Times New Roman" w:hAnsi="Times New Roman"/>
        <w:sz w:val="18"/>
        <w:szCs w:val="18"/>
      </w:rPr>
      <w:t>.</w:t>
    </w:r>
    <w:r w:rsidRPr="00F51051">
      <w:rPr>
        <w:rFonts w:ascii="Times New Roman" w:hAnsi="Times New Roman"/>
        <w:sz w:val="18"/>
        <w:szCs w:val="18"/>
      </w:rPr>
      <w:t xml:space="preserve"> </w:t>
    </w:r>
    <w:proofErr w:type="spellStart"/>
    <w:r w:rsidRPr="00F51051">
      <w:rPr>
        <w:rFonts w:ascii="Times New Roman" w:hAnsi="Times New Roman"/>
        <w:sz w:val="18"/>
        <w:szCs w:val="18"/>
      </w:rPr>
      <w:t>Пандас</w:t>
    </w:r>
    <w:proofErr w:type="spellEnd"/>
    <w:r w:rsidRPr="00F51051">
      <w:rPr>
        <w:rFonts w:ascii="Times New Roman" w:hAnsi="Times New Roman"/>
        <w:sz w:val="18"/>
        <w:szCs w:val="18"/>
      </w:rPr>
      <w:t xml:space="preserve"> А.В.</w:t>
    </w:r>
  </w:p>
  <w:p w:rsidR="00F51051" w:rsidRDefault="00F51051">
    <w:pPr>
      <w:pStyle w:val="aa"/>
    </w:pPr>
  </w:p>
  <w:p w:rsidR="00F51051" w:rsidRDefault="00F510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8A" w:rsidRDefault="007C348A" w:rsidP="00F51051">
      <w:pPr>
        <w:spacing w:after="0" w:line="240" w:lineRule="auto"/>
      </w:pPr>
      <w:r>
        <w:separator/>
      </w:r>
    </w:p>
  </w:footnote>
  <w:footnote w:type="continuationSeparator" w:id="0">
    <w:p w:rsidR="007C348A" w:rsidRDefault="007C348A" w:rsidP="00F5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254F34C"/>
    <w:lvl w:ilvl="0">
      <w:start w:val="1"/>
      <w:numFmt w:val="decimal"/>
      <w:lvlText w:val="%1."/>
      <w:lvlJc w:val="left"/>
      <w:rPr>
        <w:b/>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9"/>
        <w:szCs w:val="29"/>
        <w:u w:val="none"/>
      </w:rPr>
    </w:lvl>
    <w:lvl w:ilvl="2">
      <w:start w:val="1"/>
      <w:numFmt w:val="decimal"/>
      <w:lvlText w:val="%1."/>
      <w:lvlJc w:val="left"/>
      <w:rPr>
        <w:b w:val="0"/>
        <w:bCs w:val="0"/>
        <w:i w:val="0"/>
        <w:iCs w:val="0"/>
        <w:smallCaps w:val="0"/>
        <w:strike w:val="0"/>
        <w:color w:val="000000"/>
        <w:spacing w:val="0"/>
        <w:w w:val="100"/>
        <w:position w:val="0"/>
        <w:sz w:val="29"/>
        <w:szCs w:val="29"/>
        <w:u w:val="none"/>
      </w:rPr>
    </w:lvl>
    <w:lvl w:ilvl="3">
      <w:start w:val="1"/>
      <w:numFmt w:val="decimal"/>
      <w:lvlText w:val="%1."/>
      <w:lvlJc w:val="left"/>
      <w:rPr>
        <w:b w:val="0"/>
        <w:bCs w:val="0"/>
        <w:i w:val="0"/>
        <w:iCs w:val="0"/>
        <w:smallCaps w:val="0"/>
        <w:strike w:val="0"/>
        <w:color w:val="000000"/>
        <w:spacing w:val="0"/>
        <w:w w:val="100"/>
        <w:position w:val="0"/>
        <w:sz w:val="29"/>
        <w:szCs w:val="29"/>
        <w:u w:val="none"/>
      </w:rPr>
    </w:lvl>
    <w:lvl w:ilvl="4">
      <w:start w:val="1"/>
      <w:numFmt w:val="decimal"/>
      <w:lvlText w:val="%1."/>
      <w:lvlJc w:val="left"/>
      <w:rPr>
        <w:b w:val="0"/>
        <w:bCs w:val="0"/>
        <w:i w:val="0"/>
        <w:iCs w:val="0"/>
        <w:smallCaps w:val="0"/>
        <w:strike w:val="0"/>
        <w:color w:val="000000"/>
        <w:spacing w:val="0"/>
        <w:w w:val="100"/>
        <w:position w:val="0"/>
        <w:sz w:val="29"/>
        <w:szCs w:val="29"/>
        <w:u w:val="none"/>
      </w:rPr>
    </w:lvl>
    <w:lvl w:ilvl="5">
      <w:start w:val="1"/>
      <w:numFmt w:val="decimal"/>
      <w:lvlText w:val="%1."/>
      <w:lvlJc w:val="left"/>
      <w:rPr>
        <w:b w:val="0"/>
        <w:bCs w:val="0"/>
        <w:i w:val="0"/>
        <w:iCs w:val="0"/>
        <w:smallCaps w:val="0"/>
        <w:strike w:val="0"/>
        <w:color w:val="000000"/>
        <w:spacing w:val="0"/>
        <w:w w:val="100"/>
        <w:position w:val="0"/>
        <w:sz w:val="29"/>
        <w:szCs w:val="29"/>
        <w:u w:val="none"/>
      </w:rPr>
    </w:lvl>
    <w:lvl w:ilvl="6">
      <w:start w:val="1"/>
      <w:numFmt w:val="decimal"/>
      <w:lvlText w:val="%1."/>
      <w:lvlJc w:val="left"/>
      <w:rPr>
        <w:b w:val="0"/>
        <w:bCs w:val="0"/>
        <w:i w:val="0"/>
        <w:iCs w:val="0"/>
        <w:smallCaps w:val="0"/>
        <w:strike w:val="0"/>
        <w:color w:val="000000"/>
        <w:spacing w:val="0"/>
        <w:w w:val="100"/>
        <w:position w:val="0"/>
        <w:sz w:val="29"/>
        <w:szCs w:val="29"/>
        <w:u w:val="none"/>
      </w:rPr>
    </w:lvl>
    <w:lvl w:ilvl="7">
      <w:start w:val="1"/>
      <w:numFmt w:val="decimal"/>
      <w:lvlText w:val="%1."/>
      <w:lvlJc w:val="left"/>
      <w:rPr>
        <w:b w:val="0"/>
        <w:bCs w:val="0"/>
        <w:i w:val="0"/>
        <w:iCs w:val="0"/>
        <w:smallCaps w:val="0"/>
        <w:strike w:val="0"/>
        <w:color w:val="000000"/>
        <w:spacing w:val="0"/>
        <w:w w:val="100"/>
        <w:position w:val="0"/>
        <w:sz w:val="29"/>
        <w:szCs w:val="29"/>
        <w:u w:val="none"/>
      </w:rPr>
    </w:lvl>
    <w:lvl w:ilvl="8">
      <w:start w:val="1"/>
      <w:numFmt w:val="decimal"/>
      <w:lvlText w:val="%1."/>
      <w:lvlJc w:val="left"/>
      <w:rPr>
        <w:b w:val="0"/>
        <w:bCs w:val="0"/>
        <w:i w:val="0"/>
        <w:iCs w:val="0"/>
        <w:smallCaps w:val="0"/>
        <w:strike w:val="0"/>
        <w:color w:val="000000"/>
        <w:spacing w:val="0"/>
        <w:w w:val="100"/>
        <w:position w:val="0"/>
        <w:sz w:val="29"/>
        <w:szCs w:val="29"/>
        <w:u w:val="none"/>
      </w:rPr>
    </w:lvl>
  </w:abstractNum>
  <w:abstractNum w:abstractNumId="1">
    <w:nsid w:val="03CD0B27"/>
    <w:multiLevelType w:val="hybridMultilevel"/>
    <w:tmpl w:val="7DA2252E"/>
    <w:lvl w:ilvl="0" w:tplc="E1E83E90">
      <w:start w:val="1"/>
      <w:numFmt w:val="decimal"/>
      <w:lvlText w:val="%1)"/>
      <w:lvlJc w:val="left"/>
      <w:pPr>
        <w:tabs>
          <w:tab w:val="num" w:pos="532"/>
        </w:tabs>
        <w:ind w:left="532" w:hanging="39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55832D3"/>
    <w:multiLevelType w:val="hybridMultilevel"/>
    <w:tmpl w:val="1D247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2378"/>
    <w:multiLevelType w:val="hybridMultilevel"/>
    <w:tmpl w:val="BE124E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EB560D"/>
    <w:multiLevelType w:val="hybridMultilevel"/>
    <w:tmpl w:val="4BC0958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78A38D1"/>
    <w:multiLevelType w:val="singleLevel"/>
    <w:tmpl w:val="957C4FC0"/>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4337897"/>
    <w:multiLevelType w:val="hybridMultilevel"/>
    <w:tmpl w:val="750A92F0"/>
    <w:lvl w:ilvl="0" w:tplc="94DE90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126C7"/>
    <w:multiLevelType w:val="hybridMultilevel"/>
    <w:tmpl w:val="104C8C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B010E1F"/>
    <w:multiLevelType w:val="hybridMultilevel"/>
    <w:tmpl w:val="BFF817F6"/>
    <w:lvl w:ilvl="0" w:tplc="47E8EC54">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AB59E5"/>
    <w:multiLevelType w:val="hybridMultilevel"/>
    <w:tmpl w:val="05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B7135"/>
    <w:multiLevelType w:val="hybridMultilevel"/>
    <w:tmpl w:val="8822F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96E99"/>
    <w:multiLevelType w:val="hybridMultilevel"/>
    <w:tmpl w:val="379EF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63490D"/>
    <w:multiLevelType w:val="singleLevel"/>
    <w:tmpl w:val="957C4FC0"/>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45934C93"/>
    <w:multiLevelType w:val="singleLevel"/>
    <w:tmpl w:val="F9280242"/>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49366DF0"/>
    <w:multiLevelType w:val="hybridMultilevel"/>
    <w:tmpl w:val="76C842D8"/>
    <w:lvl w:ilvl="0" w:tplc="7720A5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26476D"/>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538136BF"/>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55D753D5"/>
    <w:multiLevelType w:val="hybridMultilevel"/>
    <w:tmpl w:val="0EA8BF4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A0E155D"/>
    <w:multiLevelType w:val="hybridMultilevel"/>
    <w:tmpl w:val="81E4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2C7C4E"/>
    <w:multiLevelType w:val="hybridMultilevel"/>
    <w:tmpl w:val="2B304BD4"/>
    <w:lvl w:ilvl="0" w:tplc="581EED1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C114DB7"/>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5FDE1C66"/>
    <w:multiLevelType w:val="hybridMultilevel"/>
    <w:tmpl w:val="36EEBBEC"/>
    <w:lvl w:ilvl="0" w:tplc="65AAA37A">
      <w:start w:val="1"/>
      <w:numFmt w:val="decimal"/>
      <w:lvlText w:val="%1."/>
      <w:lvlJc w:val="left"/>
      <w:pPr>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03A4A62"/>
    <w:multiLevelType w:val="hybridMultilevel"/>
    <w:tmpl w:val="F3081E86"/>
    <w:lvl w:ilvl="0" w:tplc="65AAA3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74322D"/>
    <w:multiLevelType w:val="hybridMultilevel"/>
    <w:tmpl w:val="5CF497E2"/>
    <w:lvl w:ilvl="0" w:tplc="C47C5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183BEA"/>
    <w:multiLevelType w:val="hybridMultilevel"/>
    <w:tmpl w:val="F3081E86"/>
    <w:lvl w:ilvl="0" w:tplc="65AAA3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01F3A"/>
    <w:multiLevelType w:val="hybridMultilevel"/>
    <w:tmpl w:val="476E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C075E"/>
    <w:multiLevelType w:val="hybridMultilevel"/>
    <w:tmpl w:val="C4F21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FA973AF"/>
    <w:multiLevelType w:val="hybridMultilevel"/>
    <w:tmpl w:val="A36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983FD5"/>
    <w:multiLevelType w:val="hybridMultilevel"/>
    <w:tmpl w:val="05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C4421"/>
    <w:multiLevelType w:val="hybridMultilevel"/>
    <w:tmpl w:val="ADBCB44C"/>
    <w:lvl w:ilvl="0" w:tplc="47E8EC54">
      <w:start w:val="1"/>
      <w:numFmt w:val="bullet"/>
      <w:lvlText w:val=""/>
      <w:lvlJc w:val="left"/>
      <w:pPr>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3AA06FC"/>
    <w:multiLevelType w:val="hybridMultilevel"/>
    <w:tmpl w:val="1AB284B2"/>
    <w:lvl w:ilvl="0" w:tplc="8B689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9A73FE2"/>
    <w:multiLevelType w:val="multilevel"/>
    <w:tmpl w:val="05F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9A303E"/>
    <w:multiLevelType w:val="hybridMultilevel"/>
    <w:tmpl w:val="E78E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FE02B6"/>
    <w:multiLevelType w:val="singleLevel"/>
    <w:tmpl w:val="F9280242"/>
    <w:lvl w:ilvl="0">
      <w:start w:val="1"/>
      <w:numFmt w:val="decimal"/>
      <w:lvlText w:val="%1)"/>
      <w:legacy w:legacy="1" w:legacySpace="0" w:legacyIndent="360"/>
      <w:lvlJc w:val="left"/>
      <w:rPr>
        <w:rFonts w:ascii="Times New Roman CYR" w:hAnsi="Times New Roman CYR" w:cs="Times New Roman CYR" w:hint="default"/>
      </w:rPr>
    </w:lvl>
  </w:abstractNum>
  <w:abstractNum w:abstractNumId="34">
    <w:nsid w:val="7F66520A"/>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9"/>
  </w:num>
  <w:num w:numId="2">
    <w:abstractNumId w:val="10"/>
  </w:num>
  <w:num w:numId="3">
    <w:abstractNumId w:val="24"/>
  </w:num>
  <w:num w:numId="4">
    <w:abstractNumId w:val="28"/>
  </w:num>
  <w:num w:numId="5">
    <w:abstractNumId w:val="6"/>
  </w:num>
  <w:num w:numId="6">
    <w:abstractNumId w:val="26"/>
  </w:num>
  <w:num w:numId="7">
    <w:abstractNumId w:val="31"/>
  </w:num>
  <w:num w:numId="8">
    <w:abstractNumId w:val="27"/>
  </w:num>
  <w:num w:numId="9">
    <w:abstractNumId w:val="22"/>
  </w:num>
  <w:num w:numId="10">
    <w:abstractNumId w:val="11"/>
  </w:num>
  <w:num w:numId="11">
    <w:abstractNumId w:val="21"/>
  </w:num>
  <w:num w:numId="12">
    <w:abstractNumId w:val="1"/>
  </w:num>
  <w:num w:numId="13">
    <w:abstractNumId w:val="2"/>
  </w:num>
  <w:num w:numId="14">
    <w:abstractNumId w:val="7"/>
  </w:num>
  <w:num w:numId="15">
    <w:abstractNumId w:val="0"/>
  </w:num>
  <w:num w:numId="16">
    <w:abstractNumId w:val="3"/>
  </w:num>
  <w:num w:numId="17">
    <w:abstractNumId w:val="19"/>
  </w:num>
  <w:num w:numId="18">
    <w:abstractNumId w:val="32"/>
  </w:num>
  <w:num w:numId="19">
    <w:abstractNumId w:val="25"/>
  </w:num>
  <w:num w:numId="20">
    <w:abstractNumId w:val="14"/>
  </w:num>
  <w:num w:numId="21">
    <w:abstractNumId w:val="30"/>
  </w:num>
  <w:num w:numId="22">
    <w:abstractNumId w:val="2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3">
    <w:abstractNumId w:val="1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3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5">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7">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8">
    <w:abstractNumId w:val="1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9">
    <w:abstractNumId w:val="3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0">
    <w:abstractNumId w:val="4"/>
  </w:num>
  <w:num w:numId="31">
    <w:abstractNumId w:val="17"/>
  </w:num>
  <w:num w:numId="32">
    <w:abstractNumId w:val="8"/>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3A"/>
    <w:rsid w:val="00131982"/>
    <w:rsid w:val="00135205"/>
    <w:rsid w:val="00143EC5"/>
    <w:rsid w:val="0014445E"/>
    <w:rsid w:val="0015574E"/>
    <w:rsid w:val="0016431C"/>
    <w:rsid w:val="002063FB"/>
    <w:rsid w:val="00267E27"/>
    <w:rsid w:val="002E30AE"/>
    <w:rsid w:val="00301A6E"/>
    <w:rsid w:val="00324863"/>
    <w:rsid w:val="00326B33"/>
    <w:rsid w:val="003F2AEF"/>
    <w:rsid w:val="00400395"/>
    <w:rsid w:val="00485133"/>
    <w:rsid w:val="004B2D9E"/>
    <w:rsid w:val="00522638"/>
    <w:rsid w:val="005D2D7E"/>
    <w:rsid w:val="005F35E1"/>
    <w:rsid w:val="005F7E4B"/>
    <w:rsid w:val="007448E1"/>
    <w:rsid w:val="00781AB0"/>
    <w:rsid w:val="007C348A"/>
    <w:rsid w:val="007C543F"/>
    <w:rsid w:val="008032E0"/>
    <w:rsid w:val="008113FB"/>
    <w:rsid w:val="00856EF4"/>
    <w:rsid w:val="00892898"/>
    <w:rsid w:val="008B7081"/>
    <w:rsid w:val="008C578D"/>
    <w:rsid w:val="00994924"/>
    <w:rsid w:val="00A651C2"/>
    <w:rsid w:val="00A94D3A"/>
    <w:rsid w:val="00AA136D"/>
    <w:rsid w:val="00AA5002"/>
    <w:rsid w:val="00AC2841"/>
    <w:rsid w:val="00AF7168"/>
    <w:rsid w:val="00B427AA"/>
    <w:rsid w:val="00B70A95"/>
    <w:rsid w:val="00C436FD"/>
    <w:rsid w:val="00C60D07"/>
    <w:rsid w:val="00DD6E01"/>
    <w:rsid w:val="00DF3704"/>
    <w:rsid w:val="00E62D4F"/>
    <w:rsid w:val="00E84EE5"/>
    <w:rsid w:val="00F12CFA"/>
    <w:rsid w:val="00F51051"/>
    <w:rsid w:val="00FC0F9B"/>
    <w:rsid w:val="00FC6634"/>
    <w:rsid w:val="00FF0551"/>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A"/>
    <w:pPr>
      <w:ind w:left="720"/>
      <w:contextualSpacing/>
    </w:pPr>
  </w:style>
  <w:style w:type="table" w:styleId="a4">
    <w:name w:val="Table Grid"/>
    <w:basedOn w:val="a1"/>
    <w:uiPriority w:val="59"/>
    <w:rsid w:val="007C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01A6E"/>
  </w:style>
  <w:style w:type="character" w:styleId="a5">
    <w:name w:val="Hyperlink"/>
    <w:uiPriority w:val="99"/>
    <w:unhideWhenUsed/>
    <w:rsid w:val="00301A6E"/>
    <w:rPr>
      <w:color w:val="0000FF"/>
      <w:u w:val="single"/>
    </w:rPr>
  </w:style>
  <w:style w:type="paragraph" w:styleId="a6">
    <w:name w:val="Balloon Text"/>
    <w:basedOn w:val="a"/>
    <w:link w:val="a7"/>
    <w:uiPriority w:val="99"/>
    <w:semiHidden/>
    <w:unhideWhenUsed/>
    <w:rsid w:val="0099492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94924"/>
    <w:rPr>
      <w:rFonts w:ascii="Tahoma" w:hAnsi="Tahoma" w:cs="Tahoma"/>
      <w:sz w:val="16"/>
      <w:szCs w:val="16"/>
    </w:rPr>
  </w:style>
  <w:style w:type="paragraph" w:styleId="a8">
    <w:name w:val="header"/>
    <w:basedOn w:val="a"/>
    <w:link w:val="a9"/>
    <w:uiPriority w:val="99"/>
    <w:unhideWhenUsed/>
    <w:rsid w:val="00F51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051"/>
  </w:style>
  <w:style w:type="paragraph" w:styleId="aa">
    <w:name w:val="footer"/>
    <w:basedOn w:val="a"/>
    <w:link w:val="ab"/>
    <w:uiPriority w:val="99"/>
    <w:unhideWhenUsed/>
    <w:rsid w:val="00F51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A"/>
    <w:pPr>
      <w:ind w:left="720"/>
      <w:contextualSpacing/>
    </w:pPr>
  </w:style>
  <w:style w:type="table" w:styleId="a4">
    <w:name w:val="Table Grid"/>
    <w:basedOn w:val="a1"/>
    <w:uiPriority w:val="59"/>
    <w:rsid w:val="007C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01A6E"/>
  </w:style>
  <w:style w:type="character" w:styleId="a5">
    <w:name w:val="Hyperlink"/>
    <w:uiPriority w:val="99"/>
    <w:unhideWhenUsed/>
    <w:rsid w:val="00301A6E"/>
    <w:rPr>
      <w:color w:val="0000FF"/>
      <w:u w:val="single"/>
    </w:rPr>
  </w:style>
  <w:style w:type="paragraph" w:styleId="a6">
    <w:name w:val="Balloon Text"/>
    <w:basedOn w:val="a"/>
    <w:link w:val="a7"/>
    <w:uiPriority w:val="99"/>
    <w:semiHidden/>
    <w:unhideWhenUsed/>
    <w:rsid w:val="0099492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94924"/>
    <w:rPr>
      <w:rFonts w:ascii="Tahoma" w:hAnsi="Tahoma" w:cs="Tahoma"/>
      <w:sz w:val="16"/>
      <w:szCs w:val="16"/>
    </w:rPr>
  </w:style>
  <w:style w:type="paragraph" w:styleId="a8">
    <w:name w:val="header"/>
    <w:basedOn w:val="a"/>
    <w:link w:val="a9"/>
    <w:uiPriority w:val="99"/>
    <w:unhideWhenUsed/>
    <w:rsid w:val="00F51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051"/>
  </w:style>
  <w:style w:type="paragraph" w:styleId="aa">
    <w:name w:val="footer"/>
    <w:basedOn w:val="a"/>
    <w:link w:val="ab"/>
    <w:uiPriority w:val="99"/>
    <w:unhideWhenUsed/>
    <w:rsid w:val="00F51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7AAAF9-3114-41DD-B946-30F7C0E376CE}" type="doc">
      <dgm:prSet loTypeId="urn:microsoft.com/office/officeart/2005/8/layout/vProcess5" loCatId="process" qsTypeId="urn:microsoft.com/office/officeart/2005/8/quickstyle/simple1" qsCatId="simple" csTypeId="urn:microsoft.com/office/officeart/2005/8/colors/accent1_2" csCatId="accent1" phldr="1"/>
      <dgm:spPr/>
    </dgm:pt>
    <dgm:pt modelId="{417470BE-C7AD-4629-87B2-F919628D9A70}">
      <dgm:prSet custT="1"/>
      <dgm:spPr>
        <a:xfrm>
          <a:off x="0" y="0"/>
          <a:ext cx="5162550" cy="16954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sz="1200" b="0" i="0" u="none" strike="noStrike" baseline="30000" smtClean="0">
              <a:solidFill>
                <a:sysClr val="window" lastClr="FFFFFF"/>
              </a:solidFill>
              <a:latin typeface="Times New Roman" pitchFamily="18" charset="0"/>
              <a:ea typeface="+mn-ea"/>
              <a:cs typeface="Times New Roman" pitchFamily="18" charset="0"/>
            </a:rPr>
            <a:t>I </a:t>
          </a:r>
          <a:r>
            <a:rPr lang="ru-RU" sz="1200" b="0" i="0" u="none" strike="noStrike" baseline="30000" smtClean="0">
              <a:solidFill>
                <a:sysClr val="window" lastClr="FFFFFF"/>
              </a:solidFill>
              <a:latin typeface="Times New Roman" pitchFamily="18" charset="0"/>
              <a:ea typeface="+mn-ea"/>
              <a:cs typeface="Times New Roman" pitchFamily="18" charset="0"/>
            </a:rPr>
            <a:t>этап</a:t>
          </a:r>
          <a:r>
            <a:rPr lang="ru-RU" sz="1200" b="0" i="0" u="none" strike="noStrike" baseline="0" smtClean="0">
              <a:solidFill>
                <a:sysClr val="window" lastClr="FFFFFF"/>
              </a:solidFill>
              <a:latin typeface="Times New Roman" pitchFamily="18" charset="0"/>
              <a:ea typeface="+mn-ea"/>
              <a:cs typeface="Times New Roman" pitchFamily="18" charset="0"/>
            </a:rPr>
            <a:t>  Изучение рынка</a:t>
          </a:r>
        </a:p>
      </dgm:t>
    </dgm:pt>
    <dgm:pt modelId="{8952C5E1-30CB-4CF8-97DC-99D6E3193BF6}" type="parTrans" cxnId="{74E3B190-80DE-443F-A2D1-26F6610970EF}">
      <dgm:prSet/>
      <dgm:spPr/>
      <dgm:t>
        <a:bodyPr/>
        <a:lstStyle/>
        <a:p>
          <a:pPr algn="ctr"/>
          <a:endParaRPr lang="ru-RU"/>
        </a:p>
      </dgm:t>
    </dgm:pt>
    <dgm:pt modelId="{4AFF3D89-F297-48DC-80FC-AAA7BAC8B1CA}" type="sibTrans" cxnId="{74E3B190-80DE-443F-A2D1-26F6610970EF}">
      <dgm:prSet/>
      <dgm:spPr/>
      <dgm:t>
        <a:bodyPr/>
        <a:lstStyle/>
        <a:p>
          <a:pPr algn="ctr"/>
          <a:endParaRPr lang="ru-RU"/>
        </a:p>
      </dgm:t>
    </dgm:pt>
    <dgm:pt modelId="{249CF8C5-9492-4E1C-83D2-9320BD39AF2E}">
      <dgm:prSet custT="1"/>
      <dgm:spPr>
        <a:xfrm>
          <a:off x="0" y="0"/>
          <a:ext cx="5162550" cy="16954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sz="1200" b="0" i="0" u="none" strike="noStrike" baseline="30000" smtClean="0">
              <a:solidFill>
                <a:sysClr val="window" lastClr="FFFFFF"/>
              </a:solidFill>
              <a:latin typeface="Times New Roman" pitchFamily="18" charset="0"/>
              <a:ea typeface="+mn-ea"/>
              <a:cs typeface="Times New Roman" pitchFamily="18" charset="0"/>
            </a:rPr>
            <a:t>II</a:t>
          </a:r>
          <a:r>
            <a:rPr lang="ru-RU" sz="1200" b="0" i="0" u="none" strike="noStrike" baseline="30000" smtClean="0">
              <a:solidFill>
                <a:sysClr val="window" lastClr="FFFFFF"/>
              </a:solidFill>
              <a:latin typeface="Times New Roman" pitchFamily="18" charset="0"/>
              <a:ea typeface="+mn-ea"/>
              <a:cs typeface="Times New Roman" pitchFamily="18" charset="0"/>
            </a:rPr>
            <a:t> этап</a:t>
          </a:r>
          <a:r>
            <a:rPr lang="ru-RU" sz="1200" b="0" i="0" u="none" strike="noStrike" baseline="0" smtClean="0">
              <a:solidFill>
                <a:sysClr val="window" lastClr="FFFFFF"/>
              </a:solidFill>
              <a:latin typeface="Times New Roman" pitchFamily="18" charset="0"/>
              <a:ea typeface="+mn-ea"/>
              <a:cs typeface="Times New Roman" pitchFamily="18" charset="0"/>
            </a:rPr>
            <a:t>  Сбор и проверка достоверности информации о предлагаемых на продажу и недавно проданных аналогах объекта оценки</a:t>
          </a:r>
        </a:p>
      </dgm:t>
    </dgm:pt>
    <dgm:pt modelId="{326D9A94-3E02-4B92-AB13-AA9E12E2E565}" type="parTrans" cxnId="{FCEDAA8D-6FE5-4FF7-AA28-86A618E08895}">
      <dgm:prSet/>
      <dgm:spPr/>
      <dgm:t>
        <a:bodyPr/>
        <a:lstStyle/>
        <a:p>
          <a:pPr algn="ctr"/>
          <a:endParaRPr lang="ru-RU"/>
        </a:p>
      </dgm:t>
    </dgm:pt>
    <dgm:pt modelId="{3A5BE0EA-C348-46F9-A94F-F3105F5EA074}" type="sibTrans" cxnId="{FCEDAA8D-6FE5-4FF7-AA28-86A618E08895}">
      <dgm:prSet/>
      <dgm:spPr/>
      <dgm:t>
        <a:bodyPr/>
        <a:lstStyle/>
        <a:p>
          <a:pPr algn="ctr"/>
          <a:endParaRPr lang="ru-RU"/>
        </a:p>
      </dgm:t>
    </dgm:pt>
    <dgm:pt modelId="{E33AF9C0-0F8A-474F-8407-348C2E008EA3}">
      <dgm:prSet custT="1"/>
      <dgm:spPr>
        <a:xfrm>
          <a:off x="0" y="0"/>
          <a:ext cx="5162550" cy="16954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sz="1200" b="0" i="0" u="none" strike="noStrike" baseline="30000" smtClean="0">
              <a:solidFill>
                <a:sysClr val="window" lastClr="FFFFFF"/>
              </a:solidFill>
              <a:latin typeface="Times New Roman" pitchFamily="18" charset="0"/>
              <a:ea typeface="+mn-ea"/>
              <a:cs typeface="Times New Roman" pitchFamily="18" charset="0"/>
            </a:rPr>
            <a:t>IV</a:t>
          </a:r>
          <a:r>
            <a:rPr lang="ru-RU" sz="1200" b="0" i="0" u="none" strike="noStrike" baseline="30000" smtClean="0">
              <a:solidFill>
                <a:sysClr val="window" lastClr="FFFFFF"/>
              </a:solidFill>
              <a:latin typeface="Times New Roman" pitchFamily="18" charset="0"/>
              <a:ea typeface="+mn-ea"/>
              <a:cs typeface="Times New Roman" pitchFamily="18" charset="0"/>
            </a:rPr>
            <a:t> этап</a:t>
          </a:r>
          <a:r>
            <a:rPr lang="ru-RU" sz="1200" b="0" i="0" u="none" strike="noStrike" baseline="0" smtClean="0">
              <a:solidFill>
                <a:sysClr val="window" lastClr="FFFFFF"/>
              </a:solidFill>
              <a:latin typeface="Times New Roman" pitchFamily="18" charset="0"/>
              <a:ea typeface="+mn-ea"/>
              <a:cs typeface="Times New Roman" pitchFamily="18" charset="0"/>
            </a:rPr>
            <a:t>  Корректировка цен продаж выбранных аналогов в соответствии с их отличиями от объекта оценки</a:t>
          </a:r>
          <a:endParaRPr lang="ru-RU" sz="1200" smtClean="0">
            <a:solidFill>
              <a:sysClr val="window" lastClr="FFFFFF"/>
            </a:solidFill>
            <a:latin typeface="Times New Roman" pitchFamily="18" charset="0"/>
            <a:ea typeface="+mn-ea"/>
            <a:cs typeface="Times New Roman" pitchFamily="18" charset="0"/>
          </a:endParaRPr>
        </a:p>
      </dgm:t>
    </dgm:pt>
    <dgm:pt modelId="{0C3B4737-5039-4BCC-8DC2-9EC18ABE56B8}" type="parTrans" cxnId="{CE23A0EF-77ED-4CE6-BBEA-EA537BFEF590}">
      <dgm:prSet/>
      <dgm:spPr/>
      <dgm:t>
        <a:bodyPr/>
        <a:lstStyle/>
        <a:p>
          <a:pPr algn="ctr"/>
          <a:endParaRPr lang="ru-RU"/>
        </a:p>
      </dgm:t>
    </dgm:pt>
    <dgm:pt modelId="{89DF34AD-02F6-4EBE-8CD4-555DD4C796DF}" type="sibTrans" cxnId="{CE23A0EF-77ED-4CE6-BBEA-EA537BFEF590}">
      <dgm:prSet/>
      <dgm:spPr/>
      <dgm:t>
        <a:bodyPr/>
        <a:lstStyle/>
        <a:p>
          <a:pPr algn="ctr"/>
          <a:endParaRPr lang="ru-RU"/>
        </a:p>
      </dgm:t>
    </dgm:pt>
    <dgm:pt modelId="{D2A77625-A537-4995-BF1D-D86E12B55F16}">
      <dgm:prSet custT="1"/>
      <dgm:spPr>
        <a:xfrm>
          <a:off x="0" y="0"/>
          <a:ext cx="5162550" cy="16954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sz="1200" b="0" i="0" u="none" strike="noStrike" baseline="30000" smtClean="0">
              <a:solidFill>
                <a:sysClr val="window" lastClr="FFFFFF"/>
              </a:solidFill>
              <a:latin typeface="Times New Roman" pitchFamily="18" charset="0"/>
              <a:ea typeface="+mn-ea"/>
              <a:cs typeface="Times New Roman" pitchFamily="18" charset="0"/>
            </a:rPr>
            <a:t>V</a:t>
          </a:r>
          <a:r>
            <a:rPr lang="ru-RU" sz="1200" b="0" i="0" u="none" strike="noStrike" baseline="30000" smtClean="0">
              <a:solidFill>
                <a:sysClr val="window" lastClr="FFFFFF"/>
              </a:solidFill>
              <a:latin typeface="Times New Roman" pitchFamily="18" charset="0"/>
              <a:ea typeface="+mn-ea"/>
              <a:cs typeface="Times New Roman" pitchFamily="18" charset="0"/>
            </a:rPr>
            <a:t> этап</a:t>
          </a:r>
          <a:r>
            <a:rPr lang="ru-RU" sz="1200" b="0" i="0" u="none" strike="noStrike" baseline="0" smtClean="0">
              <a:solidFill>
                <a:sysClr val="window" lastClr="FFFFFF"/>
              </a:solidFill>
              <a:latin typeface="Times New Roman" pitchFamily="18" charset="0"/>
              <a:ea typeface="+mn-ea"/>
              <a:cs typeface="Times New Roman" pitchFamily="18" charset="0"/>
            </a:rPr>
            <a:t>  Установление стоимости объекта оценки</a:t>
          </a:r>
          <a:endParaRPr lang="ru-RU" sz="1200" smtClean="0">
            <a:solidFill>
              <a:sysClr val="window" lastClr="FFFFFF"/>
            </a:solidFill>
            <a:latin typeface="Times New Roman" pitchFamily="18" charset="0"/>
            <a:ea typeface="+mn-ea"/>
            <a:cs typeface="Times New Roman" pitchFamily="18" charset="0"/>
          </a:endParaRPr>
        </a:p>
      </dgm:t>
    </dgm:pt>
    <dgm:pt modelId="{08307439-E0E9-47CD-909C-329A3B565785}" type="parTrans" cxnId="{390F5C3C-8C3E-45EE-9B48-A104A29C098B}">
      <dgm:prSet/>
      <dgm:spPr/>
      <dgm:t>
        <a:bodyPr/>
        <a:lstStyle/>
        <a:p>
          <a:pPr algn="ctr"/>
          <a:endParaRPr lang="ru-RU"/>
        </a:p>
      </dgm:t>
    </dgm:pt>
    <dgm:pt modelId="{42F9B7E1-995F-4FB8-AD3C-003CEF2BC997}" type="sibTrans" cxnId="{390F5C3C-8C3E-45EE-9B48-A104A29C098B}">
      <dgm:prSet/>
      <dgm:spPr/>
      <dgm:t>
        <a:bodyPr/>
        <a:lstStyle/>
        <a:p>
          <a:pPr algn="ctr"/>
          <a:endParaRPr lang="ru-RU"/>
        </a:p>
      </dgm:t>
    </dgm:pt>
    <dgm:pt modelId="{57EAD2F3-2BC8-4ACE-BD75-4C961B3F7926}">
      <dgm:prSet custT="1"/>
      <dgm:spPr>
        <a:xfrm>
          <a:off x="0" y="0"/>
          <a:ext cx="5162550" cy="16954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sz="1200" b="0" i="0" u="none" strike="noStrike" baseline="30000" smtClean="0">
              <a:solidFill>
                <a:sysClr val="window" lastClr="FFFFFF"/>
              </a:solidFill>
              <a:latin typeface="Times New Roman" pitchFamily="18" charset="0"/>
              <a:ea typeface="+mn-ea"/>
              <a:cs typeface="Times New Roman" pitchFamily="18" charset="0"/>
            </a:rPr>
            <a:t>III</a:t>
          </a:r>
          <a:r>
            <a:rPr lang="ru-RU" sz="1200" b="0" i="0" u="none" strike="noStrike" baseline="30000" smtClean="0">
              <a:solidFill>
                <a:sysClr val="window" lastClr="FFFFFF"/>
              </a:solidFill>
              <a:latin typeface="Times New Roman" pitchFamily="18" charset="0"/>
              <a:ea typeface="+mn-ea"/>
              <a:cs typeface="Times New Roman" pitchFamily="18" charset="0"/>
            </a:rPr>
            <a:t> этап</a:t>
          </a:r>
          <a:r>
            <a:rPr lang="ru-RU" sz="1200" b="0" i="0" u="none" strike="noStrike" baseline="0" smtClean="0">
              <a:solidFill>
                <a:sysClr val="window" lastClr="FFFFFF"/>
              </a:solidFill>
              <a:latin typeface="Times New Roman" pitchFamily="18" charset="0"/>
              <a:ea typeface="+mn-ea"/>
              <a:cs typeface="Times New Roman" pitchFamily="18" charset="0"/>
            </a:rPr>
            <a:t>  Выбор единиц и элементов сравнения. Сравнение данных об объекте оценки и отобранных аналогах</a:t>
          </a:r>
          <a:endParaRPr lang="ru-RU" sz="1200" smtClean="0">
            <a:solidFill>
              <a:sysClr val="window" lastClr="FFFFFF"/>
            </a:solidFill>
            <a:latin typeface="Times New Roman" pitchFamily="18" charset="0"/>
            <a:ea typeface="+mn-ea"/>
            <a:cs typeface="Times New Roman" pitchFamily="18" charset="0"/>
          </a:endParaRPr>
        </a:p>
      </dgm:t>
    </dgm:pt>
    <dgm:pt modelId="{4F4F9B1F-4863-47F0-B0EF-72DE732C33CF}" type="sibTrans" cxnId="{5087B0E0-FBBA-4CA0-9FCA-51E57B4EF45C}">
      <dgm:prSet/>
      <dgm:spPr/>
      <dgm:t>
        <a:bodyPr/>
        <a:lstStyle/>
        <a:p>
          <a:pPr algn="ctr"/>
          <a:endParaRPr lang="ru-RU"/>
        </a:p>
      </dgm:t>
    </dgm:pt>
    <dgm:pt modelId="{BDE2B1B6-C21E-4EEE-8BE0-6F0C3A8EAABF}" type="parTrans" cxnId="{5087B0E0-FBBA-4CA0-9FCA-51E57B4EF45C}">
      <dgm:prSet/>
      <dgm:spPr/>
      <dgm:t>
        <a:bodyPr/>
        <a:lstStyle/>
        <a:p>
          <a:pPr algn="ctr"/>
          <a:endParaRPr lang="ru-RU"/>
        </a:p>
      </dgm:t>
    </dgm:pt>
    <dgm:pt modelId="{3E5888E0-E09E-4829-A3F5-E12C2E1A4BB7}" type="pres">
      <dgm:prSet presAssocID="{157AAAF9-3114-41DD-B946-30F7C0E376CE}" presName="outerComposite" presStyleCnt="0">
        <dgm:presLayoutVars>
          <dgm:chMax val="5"/>
          <dgm:dir/>
          <dgm:resizeHandles val="exact"/>
        </dgm:presLayoutVars>
      </dgm:prSet>
      <dgm:spPr/>
    </dgm:pt>
    <dgm:pt modelId="{9831EF23-0CA4-4905-9FF2-8D5D4F9BA9F3}" type="pres">
      <dgm:prSet presAssocID="{157AAAF9-3114-41DD-B946-30F7C0E376CE}" presName="dummyMaxCanvas" presStyleCnt="0">
        <dgm:presLayoutVars/>
      </dgm:prSet>
      <dgm:spPr/>
    </dgm:pt>
    <dgm:pt modelId="{E783C5AA-C64E-4B93-804F-3C769B80AD25}" type="pres">
      <dgm:prSet presAssocID="{157AAAF9-3114-41DD-B946-30F7C0E376CE}" presName="OneNode_1" presStyleLbl="node1" presStyleIdx="0" presStyleCnt="1" custScaleY="200000">
        <dgm:presLayoutVars>
          <dgm:bulletEnabled val="1"/>
        </dgm:presLayoutVars>
      </dgm:prSet>
      <dgm:spPr>
        <a:prstGeom prst="roundRect">
          <a:avLst>
            <a:gd name="adj" fmla="val 10000"/>
          </a:avLst>
        </a:prstGeom>
      </dgm:spPr>
      <dgm:t>
        <a:bodyPr/>
        <a:lstStyle/>
        <a:p>
          <a:endParaRPr lang="ru-RU"/>
        </a:p>
      </dgm:t>
    </dgm:pt>
  </dgm:ptLst>
  <dgm:cxnLst>
    <dgm:cxn modelId="{27371BD8-6EB5-45C1-8258-8EDDC7CCFC03}" type="presOf" srcId="{249CF8C5-9492-4E1C-83D2-9320BD39AF2E}" destId="{E783C5AA-C64E-4B93-804F-3C769B80AD25}" srcOrd="0" destOrd="1" presId="urn:microsoft.com/office/officeart/2005/8/layout/vProcess5"/>
    <dgm:cxn modelId="{74E3B190-80DE-443F-A2D1-26F6610970EF}" srcId="{157AAAF9-3114-41DD-B946-30F7C0E376CE}" destId="{417470BE-C7AD-4629-87B2-F919628D9A70}" srcOrd="0" destOrd="0" parTransId="{8952C5E1-30CB-4CF8-97DC-99D6E3193BF6}" sibTransId="{4AFF3D89-F297-48DC-80FC-AAA7BAC8B1CA}"/>
    <dgm:cxn modelId="{8C1C450E-4BA1-4635-9392-DDA320B3DEA7}" type="presOf" srcId="{D2A77625-A537-4995-BF1D-D86E12B55F16}" destId="{E783C5AA-C64E-4B93-804F-3C769B80AD25}" srcOrd="0" destOrd="4" presId="urn:microsoft.com/office/officeart/2005/8/layout/vProcess5"/>
    <dgm:cxn modelId="{390F5C3C-8C3E-45EE-9B48-A104A29C098B}" srcId="{E33AF9C0-0F8A-474F-8407-348C2E008EA3}" destId="{D2A77625-A537-4995-BF1D-D86E12B55F16}" srcOrd="0" destOrd="0" parTransId="{08307439-E0E9-47CD-909C-329A3B565785}" sibTransId="{42F9B7E1-995F-4FB8-AD3C-003CEF2BC997}"/>
    <dgm:cxn modelId="{C748BC4D-BD6F-4D40-9A1D-3751A612074E}" type="presOf" srcId="{417470BE-C7AD-4629-87B2-F919628D9A70}" destId="{E783C5AA-C64E-4B93-804F-3C769B80AD25}" srcOrd="0" destOrd="0" presId="urn:microsoft.com/office/officeart/2005/8/layout/vProcess5"/>
    <dgm:cxn modelId="{E976EED0-D74D-4BAD-B11B-9E89998DC6D5}" type="presOf" srcId="{57EAD2F3-2BC8-4ACE-BD75-4C961B3F7926}" destId="{E783C5AA-C64E-4B93-804F-3C769B80AD25}" srcOrd="0" destOrd="2" presId="urn:microsoft.com/office/officeart/2005/8/layout/vProcess5"/>
    <dgm:cxn modelId="{566E8270-D9F7-47B8-900A-136A47D8894E}" type="presOf" srcId="{157AAAF9-3114-41DD-B946-30F7C0E376CE}" destId="{3E5888E0-E09E-4829-A3F5-E12C2E1A4BB7}" srcOrd="0" destOrd="0" presId="urn:microsoft.com/office/officeart/2005/8/layout/vProcess5"/>
    <dgm:cxn modelId="{FCEDAA8D-6FE5-4FF7-AA28-86A618E08895}" srcId="{417470BE-C7AD-4629-87B2-F919628D9A70}" destId="{249CF8C5-9492-4E1C-83D2-9320BD39AF2E}" srcOrd="0" destOrd="0" parTransId="{326D9A94-3E02-4B92-AB13-AA9E12E2E565}" sibTransId="{3A5BE0EA-C348-46F9-A94F-F3105F5EA074}"/>
    <dgm:cxn modelId="{A804A4E0-0700-4373-B127-C3DF8CB2FBB9}" type="presOf" srcId="{E33AF9C0-0F8A-474F-8407-348C2E008EA3}" destId="{E783C5AA-C64E-4B93-804F-3C769B80AD25}" srcOrd="0" destOrd="3" presId="urn:microsoft.com/office/officeart/2005/8/layout/vProcess5"/>
    <dgm:cxn modelId="{CE23A0EF-77ED-4CE6-BBEA-EA537BFEF590}" srcId="{57EAD2F3-2BC8-4ACE-BD75-4C961B3F7926}" destId="{E33AF9C0-0F8A-474F-8407-348C2E008EA3}" srcOrd="0" destOrd="0" parTransId="{0C3B4737-5039-4BCC-8DC2-9EC18ABE56B8}" sibTransId="{89DF34AD-02F6-4EBE-8CD4-555DD4C796DF}"/>
    <dgm:cxn modelId="{5087B0E0-FBBA-4CA0-9FCA-51E57B4EF45C}" srcId="{249CF8C5-9492-4E1C-83D2-9320BD39AF2E}" destId="{57EAD2F3-2BC8-4ACE-BD75-4C961B3F7926}" srcOrd="0" destOrd="0" parTransId="{BDE2B1B6-C21E-4EEE-8BE0-6F0C3A8EAABF}" sibTransId="{4F4F9B1F-4863-47F0-B0EF-72DE732C33CF}"/>
    <dgm:cxn modelId="{EEB260E5-A697-44B0-A455-6F5559417D59}" type="presParOf" srcId="{3E5888E0-E09E-4829-A3F5-E12C2E1A4BB7}" destId="{9831EF23-0CA4-4905-9FF2-8D5D4F9BA9F3}" srcOrd="0" destOrd="0" presId="urn:microsoft.com/office/officeart/2005/8/layout/vProcess5"/>
    <dgm:cxn modelId="{818FA3FF-B4AB-4B76-8458-8EACA7A8FFED}" type="presParOf" srcId="{3E5888E0-E09E-4829-A3F5-E12C2E1A4BB7}" destId="{E783C5AA-C64E-4B93-804F-3C769B80AD25}" srcOrd="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3C5AA-C64E-4B93-804F-3C769B80AD25}">
      <dsp:nvSpPr>
        <dsp:cNvPr id="0" name=""/>
        <dsp:cNvSpPr/>
      </dsp:nvSpPr>
      <dsp:spPr>
        <a:xfrm>
          <a:off x="0" y="0"/>
          <a:ext cx="5165725" cy="16941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R="0" lvl="0" algn="ctr" defTabSz="533400" rtl="0">
            <a:lnSpc>
              <a:spcPct val="90000"/>
            </a:lnSpc>
            <a:spcBef>
              <a:spcPct val="0"/>
            </a:spcBef>
            <a:spcAft>
              <a:spcPct val="35000"/>
            </a:spcAft>
          </a:pPr>
          <a:r>
            <a:rPr lang="en-US" sz="1200" b="0" i="0" u="none" strike="noStrike" kern="1200" baseline="30000" smtClean="0">
              <a:solidFill>
                <a:sysClr val="window" lastClr="FFFFFF"/>
              </a:solidFill>
              <a:latin typeface="Times New Roman" pitchFamily="18" charset="0"/>
              <a:ea typeface="+mn-ea"/>
              <a:cs typeface="Times New Roman" pitchFamily="18" charset="0"/>
            </a:rPr>
            <a:t>I </a:t>
          </a:r>
          <a:r>
            <a:rPr lang="ru-RU" sz="1200" b="0" i="0" u="none" strike="noStrike" kern="1200" baseline="30000" smtClean="0">
              <a:solidFill>
                <a:sysClr val="window" lastClr="FFFFFF"/>
              </a:solidFill>
              <a:latin typeface="Times New Roman" pitchFamily="18" charset="0"/>
              <a:ea typeface="+mn-ea"/>
              <a:cs typeface="Times New Roman" pitchFamily="18" charset="0"/>
            </a:rPr>
            <a:t>этап</a:t>
          </a:r>
          <a:r>
            <a:rPr lang="ru-RU" sz="1200" b="0" i="0" u="none" strike="noStrike" kern="1200" baseline="0" smtClean="0">
              <a:solidFill>
                <a:sysClr val="window" lastClr="FFFFFF"/>
              </a:solidFill>
              <a:latin typeface="Times New Roman" pitchFamily="18" charset="0"/>
              <a:ea typeface="+mn-ea"/>
              <a:cs typeface="Times New Roman" pitchFamily="18" charset="0"/>
            </a:rPr>
            <a:t>  Изучение рынка</a:t>
          </a:r>
        </a:p>
        <a:p>
          <a:pPr marL="114300" marR="0" lvl="1" indent="-114300" algn="ctr" defTabSz="533400" rtl="0">
            <a:lnSpc>
              <a:spcPct val="90000"/>
            </a:lnSpc>
            <a:spcBef>
              <a:spcPct val="0"/>
            </a:spcBef>
            <a:spcAft>
              <a:spcPct val="15000"/>
            </a:spcAft>
            <a:buChar char="••"/>
          </a:pPr>
          <a:r>
            <a:rPr lang="en-US" sz="1200" b="0" i="0" u="none" strike="noStrike" kern="1200" baseline="30000" smtClean="0">
              <a:solidFill>
                <a:sysClr val="window" lastClr="FFFFFF"/>
              </a:solidFill>
              <a:latin typeface="Times New Roman" pitchFamily="18" charset="0"/>
              <a:ea typeface="+mn-ea"/>
              <a:cs typeface="Times New Roman" pitchFamily="18" charset="0"/>
            </a:rPr>
            <a:t>II</a:t>
          </a:r>
          <a:r>
            <a:rPr lang="ru-RU" sz="1200" b="0" i="0" u="none" strike="noStrike" kern="1200" baseline="30000" smtClean="0">
              <a:solidFill>
                <a:sysClr val="window" lastClr="FFFFFF"/>
              </a:solidFill>
              <a:latin typeface="Times New Roman" pitchFamily="18" charset="0"/>
              <a:ea typeface="+mn-ea"/>
              <a:cs typeface="Times New Roman" pitchFamily="18" charset="0"/>
            </a:rPr>
            <a:t> этап</a:t>
          </a:r>
          <a:r>
            <a:rPr lang="ru-RU" sz="1200" b="0" i="0" u="none" strike="noStrike" kern="1200" baseline="0" smtClean="0">
              <a:solidFill>
                <a:sysClr val="window" lastClr="FFFFFF"/>
              </a:solidFill>
              <a:latin typeface="Times New Roman" pitchFamily="18" charset="0"/>
              <a:ea typeface="+mn-ea"/>
              <a:cs typeface="Times New Roman" pitchFamily="18" charset="0"/>
            </a:rPr>
            <a:t>  Сбор и проверка достоверности информации о предлагаемых на продажу и недавно проданных аналогах объекта оценки</a:t>
          </a:r>
        </a:p>
        <a:p>
          <a:pPr marL="228600" marR="0" lvl="2" indent="-114300" algn="ctr" defTabSz="533400" rtl="0">
            <a:lnSpc>
              <a:spcPct val="90000"/>
            </a:lnSpc>
            <a:spcBef>
              <a:spcPct val="0"/>
            </a:spcBef>
            <a:spcAft>
              <a:spcPct val="15000"/>
            </a:spcAft>
            <a:buChar char="••"/>
          </a:pPr>
          <a:r>
            <a:rPr lang="en-US" sz="1200" b="0" i="0" u="none" strike="noStrike" kern="1200" baseline="30000" smtClean="0">
              <a:solidFill>
                <a:sysClr val="window" lastClr="FFFFFF"/>
              </a:solidFill>
              <a:latin typeface="Times New Roman" pitchFamily="18" charset="0"/>
              <a:ea typeface="+mn-ea"/>
              <a:cs typeface="Times New Roman" pitchFamily="18" charset="0"/>
            </a:rPr>
            <a:t>III</a:t>
          </a:r>
          <a:r>
            <a:rPr lang="ru-RU" sz="1200" b="0" i="0" u="none" strike="noStrike" kern="1200" baseline="30000" smtClean="0">
              <a:solidFill>
                <a:sysClr val="window" lastClr="FFFFFF"/>
              </a:solidFill>
              <a:latin typeface="Times New Roman" pitchFamily="18" charset="0"/>
              <a:ea typeface="+mn-ea"/>
              <a:cs typeface="Times New Roman" pitchFamily="18" charset="0"/>
            </a:rPr>
            <a:t> этап</a:t>
          </a:r>
          <a:r>
            <a:rPr lang="ru-RU" sz="1200" b="0" i="0" u="none" strike="noStrike" kern="1200" baseline="0" smtClean="0">
              <a:solidFill>
                <a:sysClr val="window" lastClr="FFFFFF"/>
              </a:solidFill>
              <a:latin typeface="Times New Roman" pitchFamily="18" charset="0"/>
              <a:ea typeface="+mn-ea"/>
              <a:cs typeface="Times New Roman" pitchFamily="18" charset="0"/>
            </a:rPr>
            <a:t>  Выбор единиц и элементов сравнения. Сравнение данных об объекте оценки и отобранных аналогах</a:t>
          </a:r>
          <a:endParaRPr lang="ru-RU" sz="1200" kern="1200" smtClean="0">
            <a:solidFill>
              <a:sysClr val="window" lastClr="FFFFFF"/>
            </a:solidFill>
            <a:latin typeface="Times New Roman" pitchFamily="18" charset="0"/>
            <a:ea typeface="+mn-ea"/>
            <a:cs typeface="Times New Roman" pitchFamily="18" charset="0"/>
          </a:endParaRPr>
        </a:p>
        <a:p>
          <a:pPr marL="342900" marR="0" lvl="3" indent="-114300" algn="ctr" defTabSz="533400" rtl="0">
            <a:lnSpc>
              <a:spcPct val="90000"/>
            </a:lnSpc>
            <a:spcBef>
              <a:spcPct val="0"/>
            </a:spcBef>
            <a:spcAft>
              <a:spcPct val="15000"/>
            </a:spcAft>
            <a:buChar char="••"/>
          </a:pPr>
          <a:r>
            <a:rPr lang="en-US" sz="1200" b="0" i="0" u="none" strike="noStrike" kern="1200" baseline="30000" smtClean="0">
              <a:solidFill>
                <a:sysClr val="window" lastClr="FFFFFF"/>
              </a:solidFill>
              <a:latin typeface="Times New Roman" pitchFamily="18" charset="0"/>
              <a:ea typeface="+mn-ea"/>
              <a:cs typeface="Times New Roman" pitchFamily="18" charset="0"/>
            </a:rPr>
            <a:t>IV</a:t>
          </a:r>
          <a:r>
            <a:rPr lang="ru-RU" sz="1200" b="0" i="0" u="none" strike="noStrike" kern="1200" baseline="30000" smtClean="0">
              <a:solidFill>
                <a:sysClr val="window" lastClr="FFFFFF"/>
              </a:solidFill>
              <a:latin typeface="Times New Roman" pitchFamily="18" charset="0"/>
              <a:ea typeface="+mn-ea"/>
              <a:cs typeface="Times New Roman" pitchFamily="18" charset="0"/>
            </a:rPr>
            <a:t> этап</a:t>
          </a:r>
          <a:r>
            <a:rPr lang="ru-RU" sz="1200" b="0" i="0" u="none" strike="noStrike" kern="1200" baseline="0" smtClean="0">
              <a:solidFill>
                <a:sysClr val="window" lastClr="FFFFFF"/>
              </a:solidFill>
              <a:latin typeface="Times New Roman" pitchFamily="18" charset="0"/>
              <a:ea typeface="+mn-ea"/>
              <a:cs typeface="Times New Roman" pitchFamily="18" charset="0"/>
            </a:rPr>
            <a:t>  Корректировка цен продаж выбранных аналогов в соответствии с их отличиями от объекта оценки</a:t>
          </a:r>
          <a:endParaRPr lang="ru-RU" sz="1200" kern="1200" smtClean="0">
            <a:solidFill>
              <a:sysClr val="window" lastClr="FFFFFF"/>
            </a:solidFill>
            <a:latin typeface="Times New Roman" pitchFamily="18" charset="0"/>
            <a:ea typeface="+mn-ea"/>
            <a:cs typeface="Times New Roman" pitchFamily="18" charset="0"/>
          </a:endParaRPr>
        </a:p>
        <a:p>
          <a:pPr marL="457200" marR="0" lvl="4" indent="-114300" algn="ctr" defTabSz="533400" rtl="0">
            <a:lnSpc>
              <a:spcPct val="90000"/>
            </a:lnSpc>
            <a:spcBef>
              <a:spcPct val="0"/>
            </a:spcBef>
            <a:spcAft>
              <a:spcPct val="15000"/>
            </a:spcAft>
            <a:buChar char="••"/>
          </a:pPr>
          <a:r>
            <a:rPr lang="en-US" sz="1200" b="0" i="0" u="none" strike="noStrike" kern="1200" baseline="30000" smtClean="0">
              <a:solidFill>
                <a:sysClr val="window" lastClr="FFFFFF"/>
              </a:solidFill>
              <a:latin typeface="Times New Roman" pitchFamily="18" charset="0"/>
              <a:ea typeface="+mn-ea"/>
              <a:cs typeface="Times New Roman" pitchFamily="18" charset="0"/>
            </a:rPr>
            <a:t>V</a:t>
          </a:r>
          <a:r>
            <a:rPr lang="ru-RU" sz="1200" b="0" i="0" u="none" strike="noStrike" kern="1200" baseline="30000" smtClean="0">
              <a:solidFill>
                <a:sysClr val="window" lastClr="FFFFFF"/>
              </a:solidFill>
              <a:latin typeface="Times New Roman" pitchFamily="18" charset="0"/>
              <a:ea typeface="+mn-ea"/>
              <a:cs typeface="Times New Roman" pitchFamily="18" charset="0"/>
            </a:rPr>
            <a:t> этап</a:t>
          </a:r>
          <a:r>
            <a:rPr lang="ru-RU" sz="1200" b="0" i="0" u="none" strike="noStrike" kern="1200" baseline="0" smtClean="0">
              <a:solidFill>
                <a:sysClr val="window" lastClr="FFFFFF"/>
              </a:solidFill>
              <a:latin typeface="Times New Roman" pitchFamily="18" charset="0"/>
              <a:ea typeface="+mn-ea"/>
              <a:cs typeface="Times New Roman" pitchFamily="18" charset="0"/>
            </a:rPr>
            <a:t>  Установление стоимости объекта оценки</a:t>
          </a:r>
          <a:endParaRPr lang="ru-RU" sz="1200" kern="1200" smtClean="0">
            <a:solidFill>
              <a:sysClr val="window" lastClr="FFFFFF"/>
            </a:solidFill>
            <a:latin typeface="Times New Roman" pitchFamily="18" charset="0"/>
            <a:ea typeface="+mn-ea"/>
            <a:cs typeface="Times New Roman" pitchFamily="18" charset="0"/>
          </a:endParaRPr>
        </a:p>
      </dsp:txBody>
      <dsp:txXfrm>
        <a:off x="49621" y="49621"/>
        <a:ext cx="5066483" cy="159493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BD58-CE46-497B-B17C-D0B95070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5</cp:revision>
  <cp:lastPrinted>2017-11-19T18:11:00Z</cp:lastPrinted>
  <dcterms:created xsi:type="dcterms:W3CDTF">2017-11-19T02:57:00Z</dcterms:created>
  <dcterms:modified xsi:type="dcterms:W3CDTF">2017-11-19T18:54:00Z</dcterms:modified>
</cp:coreProperties>
</file>